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Sequência de execução — próximos trabalhos</w:t>
      </w:r>
    </w:p>
    <w:p>
      <w:pPr>
        <w:spacing w:after="100"/>
      </w:pPr>
      <w:r>
        <w:rPr>
          <w:i/>
          <w:iCs/>
          <w:color w:val="666666"/>
        </w:rPr>
        <w:t xml:space="preserve">Baseado no Mapa Mental do Ecossistema de Trabalho (EP Engenharia, Revy/DG, GAM Soluções, Pessoal). Atualizado após concluir os supervisores de lançamento de notas EP e DG, com a Fase 1 repriorizada a pedido do Guilherme: refinamento do ciclo de orçamentos antes do fechamento administrativo.</w:t>
      </w:r>
    </w:p>
    <w:p>
      <w:pPr>
        <w:pStyle w:val="Heading1"/>
        <w:spacing w:after="120" w:before="240"/>
      </w:pPr>
      <w:r>
        <w:t xml:space="preserve">Já em produção (base sólida)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EP — Controle financeiro (lançamento de notas): supervisor-lancamento-ep + skills modulares — refinado nesta sessão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DG — Controle financeiro (lançamento de notas): supervisor-lancamento-dg + skills modulares — refinado nesta sessão, incluindo checkpoint do Mercado Livre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DG — Captação de notas do Mercado Livre: notas-fiscais-ml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EP — Pagamento de MEI da equipe: darf-mei-equipe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EP — Organização de notas fiscais emitidas: organizar-notas-fiscais-obra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EP — Relatórios fotográficos semanais: já roda via Claude Design</w:t>
      </w:r>
    </w:p>
    <w:p>
      <w:pPr>
        <w:pStyle w:val="Heading1"/>
        <w:spacing w:after="120" w:before="240"/>
      </w:pPr>
      <w:r>
        <w:t xml:space="preserve">Fase 1 — Refinar o ciclo de orçamentos (EP)</w:t>
      </w:r>
    </w:p>
    <w:p>
      <w:pPr>
        <w:spacing w:after="100"/>
      </w:pPr>
      <w:r>
        <w:t xml:space="preserve">Prioridade do Guilherme: orçamento é a porta de entrada do negócio — vale mais alavancagem que fechamento administrativo. Já existem as skills orcamento-obra, referencia-orcamento e proposta-comercial-obra; o trabalho aqui é identificar e corrigir os pontos fracos do ciclo atual.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Diagnóstico do ciclo atual — mapear onde a skill erra, trava ou exige retrabalho manual (leitura de projeto, precificação, proposta comercial)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Refinamento das skills existentes conforme os pontos encontrados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Base de dados de preços viva — atualização automática pós-obra (venda x custo por m²) e comparativo com concorrentes, alimentando o referencia-orcamento continuamente</w:t>
      </w:r>
    </w:p>
    <w:p>
      <w:pPr>
        <w:pStyle w:val="Heading1"/>
        <w:spacing w:after="120" w:before="240"/>
      </w:pPr>
      <w:r>
        <w:t xml:space="preserve">Fase 2 — Fechar o ciclo financeiro semanal (EP)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Fechamento financeiro semanal — consolida o resultado de todas as obras e calcula o rateio com o sócio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Recibo semanal dos clientes pagantes — mesmo gatilho de sexta-feira, gera o recibo em Word/PDF a partir do valor recebido</w:t>
      </w:r>
    </w:p>
    <w:p>
      <w:pPr>
        <w:pStyle w:val="Heading1"/>
        <w:spacing w:after="120" w:before="240"/>
      </w:pPr>
      <w:r>
        <w:t xml:space="preserve">Fase 3 — Fechar o ciclo DG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Compras — conferência da lista do Mestre contra o orçamento do fornecedor, gerando pendências e lista de Mercado Livre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Controle de cronograma — previsto x realizado semanal, por obra, com alerta de atraso</w:t>
      </w:r>
    </w:p>
    <w:p>
      <w:pPr>
        <w:pStyle w:val="Heading1"/>
        <w:spacing w:after="120" w:before="240"/>
      </w:pPr>
      <w:r>
        <w:t xml:space="preserve">Fase 4 — Conteúdo técnico e relacionamento (EP)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Relatórios técnicos — automação do modelo em PowerPoint a partir de diretrizes, fotos e roteiro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9. Postagens no Instagram — retomar o fluxo pausado (estudo de temas, geração de imagem, agendamento no Meta Business Suite)</w:t>
      </w:r>
    </w:p>
    <w:p>
      <w:pPr>
        <w:pStyle w:val="Heading1"/>
        <w:spacing w:after="120" w:before="240"/>
      </w:pPr>
      <w:r>
        <w:t xml:space="preserve">Fase 5 — Pessoal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10. Administração de e-mail e contas a pagar — triagem Yahoo/Gmail, extração de boletos, controle de pagamento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11. Investimentos — atualização de cotações e indicação de aporte pela estratégia de alocação</w:t>
      </w:r>
    </w:p>
    <w:p>
      <w:pPr>
        <w:pStyle w:val="Heading1"/>
        <w:spacing w:after="120" w:before="240"/>
      </w:pPr>
      <w:r>
        <w:t xml:space="preserve">Fase 6 — GAM Soluções em Engenharia</w:t>
      </w:r>
    </w:p>
    <w:p>
      <w:pPr>
        <w:spacing w:after="100"/>
      </w:pPr>
      <w:r>
        <w:t xml:space="preserve">Projeto à parte, com sequência interna obrigatória (identidade visual antes de site e redes). Fica pra quando as frentes operacionais (EP e DG) estiverem redondas.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12. Identidade visual → estrutura de pastas/documentos → site → Instagram → YouTube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2026-08-03T02:31:31.680Z</dcterms:created>
  <dcterms:modified xsi:type="dcterms:W3CDTF">2026-08-03T02:31:31.681Z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