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producaobd;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producaobd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 Fabricante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codfabricante SMALLINT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nomefabricante VARCHAR(30)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 KEY (codfabricante));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 Produto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codproduto INT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nomeproduto 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codfabricante SMALLINT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 KEY (codproduto),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fk_Produto_Fabricante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FOREIGN KEY (codfabricante)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REFERENCES Fabricante (codfabricante));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Fabricante VALUES (1, 'Clear');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Fabricante VALUES (2, 'Rexona');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Fabricante VALUES (3, 'Jhonson &amp; Jhonson');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Fabricante VALUES (4, 'Coleston');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Produto VALUES (10, 'Sabonete em Barra', 2);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Produto VALUES (11, 'Shampoo Anticaspa',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Produto VALUES (12, 'Desodorante Aerosol Neutro', 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Produto VALUES (13, 'Sabonete Liquido', 2);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Produto VALUES (14, 'Protetor Solar 30', 3);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Produto VALUES (15, 'Shampoo 2 em 1', 2);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Produto VALUES (16, 'Desodorante Aerosol Morango', 2);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Produto VALUES (17, 'Shampoo Anticaspa', 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Produto VALUES (18, 'Protetor Solar 60', 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Produto VALUES (19, 'Desodorante Rollon',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