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Renomeei todas as pastas para o seguinte padrão: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mes_dia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Motivo: A ordem que o script usa é a alfanumérica, que pode dar um problema na troca de um mês para o outro: 02_06 (02-jun) fica como se fosse antes de 27_05 (27-mai). Comportamento desejado seria 27_05 e depois 02_06.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Dentro da pasta de cada dia criei duas sub-pastas: imagens (contendo as imagens de campo claro) e masks (que vai conter o resultado da segmentação).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i w:val="1"/>
          <w:rtl w:val="0"/>
        </w:rPr>
        <w:t xml:space="preserve">Fonte: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IC Beatriz → Relatório final 2021 Fapesp → esferoides monocultura DH IF → SKMEL28 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Condições: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Controle → 5 replicatas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Violaceína 0.7uM → 6 replicatas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i w:val="1"/>
          <w:rtl w:val="0"/>
        </w:rPr>
        <w:t xml:space="preserve">Protocolo de tratamento Drug Holiday: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09_17: tratamento com violaceína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09_19: retirada do meio de tratamento e adição de meio de cultivo convencional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09_21: tratamento com violaceína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09_23: retirada do meio de tratamento e adição de meio de cultivo convencional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09_25: tratamento com violaceína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09_27: finalização do experimento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 2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i w:val="1"/>
          <w:rtl w:val="0"/>
        </w:rPr>
        <w:t xml:space="preserve">Fonte: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IC Beatriz → Relatório final 2021 Fapesp → SKMEL-28 novas conc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Condições: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Controle → 6 replicatas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Violaceína 1uM → 5 replicatas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Violaceína 2.5uM → 5 replicatas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Violaceína 5uM → 5 replicatas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i w:val="1"/>
          <w:rtl w:val="0"/>
        </w:rPr>
        <w:t xml:space="preserve">Protocolo de tratamento Drug Holiday: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10_24: tratamento com violaceína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10_26: retirada do meio de tratamento e adição de meio de cultivo convencional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10_28: tratamento com violaceína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10_30: retirada do meio de tratamento e adição de meio de cultivo convencional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11_01: tratamento com violaceína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11_03: finalização do experimento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