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40"/>
        </w:rPr>
        <w:t>PBL — FASE 5</w:t>
        <w:br/>
      </w:r>
      <w:r>
        <w:rPr>
          <w:b/>
          <w:sz w:val="28"/>
        </w:rPr>
        <w:t>DATA INTELLIGENCE ANALYTICS</w:t>
      </w:r>
    </w:p>
    <w:p>
      <w:pPr>
        <w:jc w:val="center"/>
      </w:pPr>
      <w:r>
        <w:rPr>
          <w:b/>
          <w:sz w:val="32"/>
        </w:rPr>
        <w:t>Transporte Autônomo — Cidade Alfa</w:t>
      </w:r>
    </w:p>
    <w:p>
      <w:pPr>
        <w:jc w:val="center"/>
      </w:pPr>
      <w:r>
        <w:rPr>
          <w:b/>
        </w:rPr>
        <w:t>Grupo: Mosqueteiros Data Science</w:t>
      </w:r>
    </w:p>
    <w:p>
      <w:pPr>
        <w:jc w:val="center"/>
      </w:pPr>
      <w:r>
        <w:t>Entrega PBL — Fase 5</w:t>
      </w:r>
    </w:p>
    <w:p>
      <w:pPr>
        <w:pStyle w:val="Ttulo1"/>
      </w:pPr>
      <w:r>
        <w:t>1ª ENTREGA DA FASE 5 — MAPA INICIAL DE SUA MISSÃO</w:t>
      </w:r>
    </w:p>
    <w:p>
      <w:r>
        <w:t>Desafio escolhido: Transporte Autônomo — Cidade Alfa</w:t>
      </w:r>
    </w:p>
    <w:p>
      <w:r>
        <w:t>Nome do grupo: Mosqueteiros Data Science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vAlign w:val="center"/>
          </w:tcPr>
          <w:p>
            <w:r>
              <w:t>COMPONENTES EM ORDEM ALFABÉTICA</w:t>
            </w:r>
          </w:p>
        </w:tc>
        <w:tc>
          <w:tcPr>
            <w:tcW w:type="dxa" w:w="4252"/>
            <w:vAlign w:val="center"/>
          </w:tcPr>
          <w:p>
            <w:r>
              <w:t>RM</w:t>
            </w:r>
          </w:p>
        </w:tc>
      </w:tr>
      <w:tr>
        <w:tc>
          <w:tcPr>
            <w:tcW w:type="dxa" w:w="4252"/>
            <w:vAlign w:val="center"/>
          </w:tcPr>
          <w:p>
            <w:r>
              <w:t>Caio</w:t>
            </w:r>
          </w:p>
        </w:tc>
        <w:tc>
          <w:tcPr>
            <w:tcW w:type="dxa" w:w="4252"/>
            <w:vAlign w:val="center"/>
          </w:tcPr>
          <w:p>
            <w:r>
              <w:t>570571</w:t>
            </w:r>
          </w:p>
        </w:tc>
      </w:tr>
      <w:tr>
        <w:tc>
          <w:tcPr>
            <w:tcW w:type="dxa" w:w="4252"/>
            <w:vAlign w:val="center"/>
          </w:tcPr>
          <w:p>
            <w:r>
              <w:t>Guilherme</w:t>
            </w:r>
          </w:p>
        </w:tc>
        <w:tc>
          <w:tcPr>
            <w:tcW w:type="dxa" w:w="4252"/>
            <w:vAlign w:val="center"/>
          </w:tcPr>
          <w:p>
            <w:r>
              <w:t>571572</w:t>
            </w:r>
          </w:p>
        </w:tc>
      </w:tr>
      <w:tr>
        <w:tc>
          <w:tcPr>
            <w:tcW w:type="dxa" w:w="4252"/>
            <w:vAlign w:val="center"/>
          </w:tcPr>
          <w:p>
            <w:r>
              <w:t>Henrique</w:t>
            </w:r>
          </w:p>
        </w:tc>
        <w:tc>
          <w:tcPr>
            <w:tcW w:type="dxa" w:w="4252"/>
            <w:vAlign w:val="center"/>
          </w:tcPr>
          <w:p>
            <w:r>
              <w:t>568711</w:t>
            </w:r>
          </w:p>
        </w:tc>
      </w:tr>
    </w:tbl>
    <w:p>
      <w:pPr>
        <w:pStyle w:val="Ttulo1"/>
      </w:pPr>
      <w:r>
        <w:t>2ª ENTREGA DA FASE 5 — 1º DESAFIO: PREPARAÇÃO E QUALIDADE DE DADOS</w:t>
      </w:r>
    </w:p>
    <w:p>
      <w:r>
        <w:t>O grupo utilizou uma base tratada de dados de transporte autônomo da Cidade Alfa, contendo aproximadamente 1.500 registros e 13 colunas. A base reúne informações de viagens, ônibus, linhas, datas, turnos, clima, nível de autonomia, intervenções humanas, velocidade média, passageiros transportados, consumo de bateria, atrasos e status dos sensores.</w:t>
      </w:r>
    </w:p>
    <w:p>
      <w:r>
        <w:t>Arquivo de dados utilizado: Massa_Dados_Transporte_Autonomo_Cidade_Alfa_Tratada.xlsx</w:t>
      </w:r>
    </w:p>
    <w:p>
      <w:r>
        <w:t>A preparação e o tratamento dos dados foram realizados antes da etapa de análise, resultando em uma base adequada para os cálculos estatísticos e para a construção do dashboard.</w:t>
      </w:r>
    </w:p>
    <w:p>
      <w:r>
        <w:t>Arquivo de código-fonte: notebook Python (.ipynb) desenvolvido no Google Colab, contendo os procedimentos utilizados no trabalho.</w:t>
      </w:r>
    </w:p>
    <w:p>
      <w:pPr>
        <w:pStyle w:val="Ttulo1"/>
      </w:pPr>
      <w:r>
        <w:t>3ª ENTREGA DA FASE 5 — 2º DESAFIO: ANÁLISE ESTATÍSTICA E INVESTIGAÇÃO DOS DADOS</w:t>
      </w:r>
    </w:p>
    <w:p>
      <w:r>
        <w:t>A análise estatística foi realizada com Python e NumPy, utilizando principalmente as variáveis Consumo_Bateria_kWh e Atraso_Minutos.</w:t>
      </w:r>
    </w:p>
    <w:p>
      <w:pPr>
        <w:pStyle w:val="Ttulo2"/>
      </w:pPr>
      <w:r>
        <w:t>Análise do consumo de bateria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Medida</w:t>
            </w:r>
          </w:p>
        </w:tc>
        <w:tc>
          <w:tcPr>
            <w:tcW w:type="dxa" w:w="4252"/>
          </w:tcPr>
          <w:p>
            <w:r>
              <w:t>Resultado</w:t>
            </w:r>
          </w:p>
        </w:tc>
      </w:tr>
      <w:tr>
        <w:tc>
          <w:tcPr>
            <w:tcW w:type="dxa" w:w="4252"/>
          </w:tcPr>
          <w:p>
            <w:r>
              <w:t>Média</w:t>
            </w:r>
          </w:p>
        </w:tc>
        <w:tc>
          <w:tcPr>
            <w:tcW w:type="dxa" w:w="4252"/>
          </w:tcPr>
          <w:p>
            <w:r>
              <w:t>7,80 kWh</w:t>
            </w:r>
          </w:p>
        </w:tc>
      </w:tr>
      <w:tr>
        <w:tc>
          <w:tcPr>
            <w:tcW w:type="dxa" w:w="4252"/>
          </w:tcPr>
          <w:p>
            <w:r>
              <w:t>Mediana</w:t>
            </w:r>
          </w:p>
        </w:tc>
        <w:tc>
          <w:tcPr>
            <w:tcW w:type="dxa" w:w="4252"/>
          </w:tcPr>
          <w:p>
            <w:r>
              <w:t>7,77 kWh</w:t>
            </w:r>
          </w:p>
        </w:tc>
      </w:tr>
      <w:tr>
        <w:tc>
          <w:tcPr>
            <w:tcW w:type="dxa" w:w="4252"/>
          </w:tcPr>
          <w:p>
            <w:r>
              <w:t>Desvio padrão</w:t>
            </w:r>
          </w:p>
        </w:tc>
        <w:tc>
          <w:tcPr>
            <w:tcW w:type="dxa" w:w="4252"/>
          </w:tcPr>
          <w:p>
            <w:r>
              <w:t>1,49 kWh</w:t>
            </w:r>
          </w:p>
        </w:tc>
      </w:tr>
      <w:tr>
        <w:tc>
          <w:tcPr>
            <w:tcW w:type="dxa" w:w="4252"/>
          </w:tcPr>
          <w:p>
            <w:r>
              <w:t>Q1 / Percentil 25</w:t>
            </w:r>
          </w:p>
        </w:tc>
        <w:tc>
          <w:tcPr>
            <w:tcW w:type="dxa" w:w="4252"/>
          </w:tcPr>
          <w:p>
            <w:r>
              <w:t>6,71 kWh</w:t>
            </w:r>
          </w:p>
        </w:tc>
      </w:tr>
      <w:tr>
        <w:tc>
          <w:tcPr>
            <w:tcW w:type="dxa" w:w="4252"/>
          </w:tcPr>
          <w:p>
            <w:r>
              <w:t>Q2 / Percentil 50</w:t>
            </w:r>
          </w:p>
        </w:tc>
        <w:tc>
          <w:tcPr>
            <w:tcW w:type="dxa" w:w="4252"/>
          </w:tcPr>
          <w:p>
            <w:r>
              <w:t>7,77 kWh</w:t>
            </w:r>
          </w:p>
        </w:tc>
      </w:tr>
      <w:tr>
        <w:tc>
          <w:tcPr>
            <w:tcW w:type="dxa" w:w="4252"/>
          </w:tcPr>
          <w:p>
            <w:r>
              <w:t>Q3 / Percentil 75</w:t>
            </w:r>
          </w:p>
        </w:tc>
        <w:tc>
          <w:tcPr>
            <w:tcW w:type="dxa" w:w="4252"/>
          </w:tcPr>
          <w:p>
            <w:r>
              <w:t>8,90 kWh</w:t>
            </w:r>
          </w:p>
        </w:tc>
      </w:tr>
      <w:tr>
        <w:tc>
          <w:tcPr>
            <w:tcW w:type="dxa" w:w="4252"/>
          </w:tcPr>
          <w:p>
            <w:r>
              <w:t>Mínimo</w:t>
            </w:r>
          </w:p>
        </w:tc>
        <w:tc>
          <w:tcPr>
            <w:tcW w:type="dxa" w:w="4252"/>
          </w:tcPr>
          <w:p>
            <w:r>
              <w:t>3,62 kWh</w:t>
            </w:r>
          </w:p>
        </w:tc>
      </w:tr>
      <w:tr>
        <w:tc>
          <w:tcPr>
            <w:tcW w:type="dxa" w:w="4252"/>
          </w:tcPr>
          <w:p>
            <w:r>
              <w:t>Máximo</w:t>
            </w:r>
          </w:p>
        </w:tc>
        <w:tc>
          <w:tcPr>
            <w:tcW w:type="dxa" w:w="4252"/>
          </w:tcPr>
          <w:p>
            <w:r>
              <w:t>12,50 kWh</w:t>
            </w:r>
          </w:p>
        </w:tc>
      </w:tr>
      <w:tr>
        <w:tc>
          <w:tcPr>
            <w:tcW w:type="dxa" w:w="4252"/>
          </w:tcPr>
          <w:p>
            <w:r>
              <w:t>Amplitude</w:t>
            </w:r>
          </w:p>
        </w:tc>
        <w:tc>
          <w:tcPr>
            <w:tcW w:type="dxa" w:w="4252"/>
          </w:tcPr>
          <w:p>
            <w:r>
              <w:t>8,88 kWh</w:t>
            </w:r>
          </w:p>
        </w:tc>
      </w:tr>
    </w:tbl>
    <w:p>
      <w:r>
        <w:t>Os resultados permitem compreender a distribuição do consumo de bateria por viagem. O consumo médio foi de aproximadamente 7,80 kWh, enquanto a mediana foi de 7,77 kWh. O desvio padrão de 1,49 kWh indica a variação dos valores em torno da média.</w:t>
      </w:r>
    </w:p>
    <w:p>
      <w:pPr>
        <w:pStyle w:val="Ttulo2"/>
      </w:pPr>
      <w:r>
        <w:t>Análise dos atrasos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Medida</w:t>
            </w:r>
          </w:p>
        </w:tc>
        <w:tc>
          <w:tcPr>
            <w:tcW w:type="dxa" w:w="4252"/>
          </w:tcPr>
          <w:p>
            <w:r>
              <w:t>Resultado</w:t>
            </w:r>
          </w:p>
        </w:tc>
      </w:tr>
      <w:tr>
        <w:tc>
          <w:tcPr>
            <w:tcW w:type="dxa" w:w="4252"/>
          </w:tcPr>
          <w:p>
            <w:r>
              <w:t>Média</w:t>
            </w:r>
          </w:p>
        </w:tc>
        <w:tc>
          <w:tcPr>
            <w:tcW w:type="dxa" w:w="4252"/>
          </w:tcPr>
          <w:p>
            <w:r>
              <w:t>3,03 min</w:t>
            </w:r>
          </w:p>
        </w:tc>
      </w:tr>
      <w:tr>
        <w:tc>
          <w:tcPr>
            <w:tcW w:type="dxa" w:w="4252"/>
          </w:tcPr>
          <w:p>
            <w:r>
              <w:t>Mediana</w:t>
            </w:r>
          </w:p>
        </w:tc>
        <w:tc>
          <w:tcPr>
            <w:tcW w:type="dxa" w:w="4252"/>
          </w:tcPr>
          <w:p>
            <w:r>
              <w:t>1,70 min</w:t>
            </w:r>
          </w:p>
        </w:tc>
      </w:tr>
      <w:tr>
        <w:tc>
          <w:tcPr>
            <w:tcW w:type="dxa" w:w="4252"/>
          </w:tcPr>
          <w:p>
            <w:r>
              <w:t>Q1 / Percentil 25</w:t>
            </w:r>
          </w:p>
        </w:tc>
        <w:tc>
          <w:tcPr>
            <w:tcW w:type="dxa" w:w="4252"/>
          </w:tcPr>
          <w:p>
            <w:r>
              <w:t>0,60 min</w:t>
            </w:r>
          </w:p>
        </w:tc>
      </w:tr>
      <w:tr>
        <w:tc>
          <w:tcPr>
            <w:tcW w:type="dxa" w:w="4252"/>
          </w:tcPr>
          <w:p>
            <w:r>
              <w:t>Q2 / Percentil 50</w:t>
            </w:r>
          </w:p>
        </w:tc>
        <w:tc>
          <w:tcPr>
            <w:tcW w:type="dxa" w:w="4252"/>
          </w:tcPr>
          <w:p>
            <w:r>
              <w:t>1,70 min</w:t>
            </w:r>
          </w:p>
        </w:tc>
      </w:tr>
      <w:tr>
        <w:tc>
          <w:tcPr>
            <w:tcW w:type="dxa" w:w="4252"/>
          </w:tcPr>
          <w:p>
            <w:r>
              <w:t>Q3 / Percentil 75</w:t>
            </w:r>
          </w:p>
        </w:tc>
        <w:tc>
          <w:tcPr>
            <w:tcW w:type="dxa" w:w="4252"/>
          </w:tcPr>
          <w:p>
            <w:r>
              <w:t>3,40 min</w:t>
            </w:r>
          </w:p>
        </w:tc>
      </w:tr>
      <w:tr>
        <w:tc>
          <w:tcPr>
            <w:tcW w:type="dxa" w:w="4252"/>
          </w:tcPr>
          <w:p>
            <w:r>
              <w:t>Mínimo</w:t>
            </w:r>
          </w:p>
        </w:tc>
        <w:tc>
          <w:tcPr>
            <w:tcW w:type="dxa" w:w="4252"/>
          </w:tcPr>
          <w:p>
            <w:r>
              <w:t>0 min</w:t>
            </w:r>
          </w:p>
        </w:tc>
      </w:tr>
      <w:tr>
        <w:tc>
          <w:tcPr>
            <w:tcW w:type="dxa" w:w="4252"/>
          </w:tcPr>
          <w:p>
            <w:r>
              <w:t>Máximo</w:t>
            </w:r>
          </w:p>
        </w:tc>
        <w:tc>
          <w:tcPr>
            <w:tcW w:type="dxa" w:w="4252"/>
          </w:tcPr>
          <w:p>
            <w:r>
              <w:t>50,60 min</w:t>
            </w:r>
          </w:p>
        </w:tc>
      </w:tr>
      <w:tr>
        <w:tc>
          <w:tcPr>
            <w:tcW w:type="dxa" w:w="4252"/>
          </w:tcPr>
          <w:p>
            <w:r>
              <w:t>Amplitude</w:t>
            </w:r>
          </w:p>
        </w:tc>
        <w:tc>
          <w:tcPr>
            <w:tcW w:type="dxa" w:w="4252"/>
          </w:tcPr>
          <w:p>
            <w:r>
              <w:t>50,60 min</w:t>
            </w:r>
          </w:p>
        </w:tc>
      </w:tr>
    </w:tbl>
    <w:p>
      <w:r>
        <w:t>Na análise dos atrasos, a média foi de aproximadamente 3,03 minutos e a mediana de 1,70 minuto. Os percentis indicam que 75% dos atrasos ficaram em até 3,40 minutos. O maior atraso registrado foi de 50,60 minutos, indicando a existência de ocorrências pontuais de atraso elevado.</w:t>
      </w:r>
    </w:p>
    <w:p>
      <w:r>
        <w:t>O código-fonte completo da análise estatística está no notebook Python entregue pelo grupo.</w:t>
      </w:r>
    </w:p>
    <w:p>
      <w:pPr>
        <w:pStyle w:val="Ttulo1"/>
      </w:pPr>
      <w:r>
        <w:t>4ª ENTREGA DA FASE 5 — 3º DESAFIO: VISUALIZAÇÃO DE DADOS E RECOMENDAÇÕES PARA A GESTÃO PÚBLICA</w:t>
      </w:r>
    </w:p>
    <w:p>
      <w:r>
        <w:t>Foi desenvolvido um dashboard interativo no Google Looker Studio, utilizando a base tratada do projeto. O painel foi organizado para apresentar indicadores gerais e comparações relacionadas às linhas, passageiros, atrasos, nível de autonomia e status dos sensores.</w:t>
      </w:r>
    </w:p>
    <w:p>
      <w:pPr>
        <w:pStyle w:val="Ttulo2"/>
      </w:pPr>
      <w:r>
        <w:t>Indicadores apresentados</w:t>
      </w:r>
    </w:p>
    <w:p>
      <w:r>
        <w:t>• Total de viagens: 1.500</w:t>
      </w:r>
    </w:p>
    <w:p>
      <w:r>
        <w:t>• Total de passageiros transportados: 70.339</w:t>
      </w:r>
    </w:p>
    <w:p>
      <w:r>
        <w:t>• Total de intervenções humanas: 817</w:t>
      </w:r>
    </w:p>
    <w:p>
      <w:r>
        <w:t>• Consumo médio de bateria: 7,8 kWh</w:t>
      </w:r>
    </w:p>
    <w:p>
      <w:r>
        <w:t>• Viagens por linha</w:t>
      </w:r>
    </w:p>
    <w:p>
      <w:r>
        <w:t>• Passageiros por linha</w:t>
      </w:r>
    </w:p>
    <w:p>
      <w:r>
        <w:t>• Atraso médio por linha</w:t>
      </w:r>
    </w:p>
    <w:p>
      <w:r>
        <w:t>• Nível de autonomia</w:t>
      </w:r>
    </w:p>
    <w:p>
      <w:r>
        <w:t>• Status dos sensores</w:t>
      </w:r>
    </w:p>
    <w:p>
      <w:pPr>
        <w:pStyle w:val="Ttulo2"/>
      </w:pPr>
      <w:r>
        <w:t>Principais observações do dashboard</w:t>
      </w:r>
    </w:p>
    <w:p>
      <w:r>
        <w:t>A Linha 202 — Sul/Leste apresentou o maior número de viagens, com 455 registros, e também o maior número de passageiros transportados, com 21.828 passageiros.</w:t>
      </w:r>
    </w:p>
    <w:p>
      <w:r>
        <w:t>A Linha 303 — Circular Expressa apresentou o menor atraso médio entre as linhas analisadas, com aproximadamente 2,64 minutos. A Linha 202 apresentou o maior atraso médio, com aproximadamente 3,21 minutos.</w:t>
      </w:r>
    </w:p>
    <w:p>
      <w:r>
        <w:t>Na distribuição do nível de autonomia, foram observados 1.226 registros classificados como L4 Total e 274 como L4 Parcial (Intervenção Humana).</w:t>
      </w:r>
    </w:p>
    <w:p>
      <w:pPr>
        <w:pStyle w:val="Ttulo2"/>
      </w:pPr>
      <w:r>
        <w:t>Recomendações para a gestão pública</w:t>
      </w:r>
    </w:p>
    <w:p>
      <w:r>
        <w:t>• Priorizar o acompanhamento da Linha 202, por concentrar o maior volume de viagens e passageiros e apresentar o maior atraso médio entre as linhas analisadas.</w:t>
      </w:r>
    </w:p>
    <w:p>
      <w:r>
        <w:t>• Investigar as ocorrências de atraso elevado, principalmente os casos que se afastam significativamente do comportamento usual observado nos percentis.</w:t>
      </w:r>
    </w:p>
    <w:p>
      <w:r>
        <w:t>• Acompanhar as intervenções humanas e a distribuição dos níveis de autonomia para identificar situações em que a operação L4 Parcial ocorre com maior frequência.</w:t>
      </w:r>
    </w:p>
    <w:p>
      <w:r>
        <w:t>• Manter o monitoramento do status dos sensores, dando atenção às ocorrências de alerta de calibração e falha de leitura, pois a qualidade dos sensores é relevante para a operação autônoma.</w:t>
      </w:r>
    </w:p>
    <w:p>
      <w:r>
        <w:t>• Utilizar o dashboard como instrumento de acompanhamento operacional e apoio à tomada de decisão, permitindo que novos períodos e indicadores sejam comparados conforme a base de dados evolua.</w:t>
      </w:r>
    </w:p>
    <w:p>
      <w:pPr>
        <w:pStyle w:val="Ttulo1"/>
      </w:pPr>
      <w:r>
        <w:t>Conclusão</w:t>
      </w:r>
    </w:p>
    <w:p>
      <w:r>
        <w:t>O projeto aplicou etapas de preparação, análise estatística e visualização sobre dados de transporte autônomo da Cidade Alfa. A utilização do NumPy permitiu realizar cálculos estatísticos sobre consumo de bateria e atrasos, enquanto o dashboard no Looker Studio possibilitou apresentar os principais indicadores de forma visual e interativa. Os resultados fornecem informações para acompanhar a operação, identificar pontos de atenção e apoiar decisões da gestão pública.</w:t>
      </w:r>
    </w:p>
    <w:p>
      <w:pPr>
        <w:pStyle w:val="Ttulo1"/>
      </w:pPr>
      <w:r>
        <w:t>Arquivos que acompanham a entrega</w:t>
      </w:r>
    </w:p>
    <w:p>
      <w:r>
        <w:t>• Base tratada: Massa_Dados_Transporte_Autonomo_Cidade_Alfa_Tratada.xlsx</w:t>
      </w:r>
    </w:p>
    <w:p>
      <w:r>
        <w:t>• Notebook Python (.ipynb) desenvolvido no Google Colab</w:t>
      </w:r>
    </w:p>
    <w:p>
      <w:r>
        <w:t>• Dashboard interativo desenvolvido no Google Looker Studio</w:t>
      </w:r>
    </w:p>
    <w:p>
      <w:r>
        <w:t>• Documento PBL — Fase 5 (este arquivo)</w:t>
      </w:r>
    </w:p>
    <w:sectPr w:rsidR="00BC51DB" w:rsidRPr="00264E99">
      <w:headerReference w:type="default" r:id="rId16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9E61B" w14:textId="77777777" w:rsidR="00624085" w:rsidRDefault="00624085" w:rsidP="008B45CD">
      <w:pPr>
        <w:spacing w:after="0" w:line="240" w:lineRule="auto"/>
      </w:pPr>
      <w:r>
        <w:separator/>
      </w:r>
    </w:p>
  </w:endnote>
  <w:endnote w:type="continuationSeparator" w:id="0">
    <w:p w14:paraId="3C3230AF" w14:textId="77777777" w:rsidR="00624085" w:rsidRDefault="00624085" w:rsidP="008B4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Mosqueteiros Data Science — PBL Fase 5 — Transporte Autônomo — Cidade Alfa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2B7C9" w14:textId="77777777" w:rsidR="00624085" w:rsidRDefault="00624085" w:rsidP="008B45CD">
      <w:pPr>
        <w:spacing w:after="0" w:line="240" w:lineRule="auto"/>
      </w:pPr>
      <w:r>
        <w:separator/>
      </w:r>
    </w:p>
  </w:footnote>
  <w:footnote w:type="continuationSeparator" w:id="0">
    <w:p w14:paraId="1579F13F" w14:textId="77777777" w:rsidR="00624085" w:rsidRDefault="00624085" w:rsidP="008B4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0207" w:type="dxa"/>
      <w:tblInd w:w="-15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11"/>
      <w:gridCol w:w="7796"/>
    </w:tblGrid>
    <w:tr w:rsidR="008B45CD" w:rsidRPr="007673E1" w14:paraId="01FADB4C" w14:textId="77777777" w:rsidTr="003C6D9F">
      <w:tc>
        <w:tcPr>
          <w:tcW w:w="2411" w:type="dxa"/>
        </w:tcPr>
        <w:p w14:paraId="36A6304E" w14:textId="3E96FB08" w:rsidR="008B45CD" w:rsidRDefault="008B45CD" w:rsidP="008B45CD">
          <w:pPr>
            <w:pStyle w:val="Cabealho"/>
          </w:pPr>
          <w:r>
            <w:t xml:space="preserve"> </w:t>
          </w:r>
          <w:r>
            <w:rPr>
              <w:noProof/>
              <w:lang w:eastAsia="pt-BR"/>
            </w:rPr>
            <w:drawing>
              <wp:inline distT="0" distB="0" distL="0" distR="0" wp14:anchorId="6B7613C0" wp14:editId="5E9D0B62">
                <wp:extent cx="1079500" cy="222272"/>
                <wp:effectExtent l="0" t="0" r="0" b="635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ON_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3440" cy="237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6" w:type="dxa"/>
        </w:tcPr>
        <w:p w14:paraId="2A3047C4" w14:textId="77777777" w:rsidR="007673E1" w:rsidRPr="003C6D9F" w:rsidRDefault="008B45CD" w:rsidP="008B45CD">
          <w:pPr>
            <w:pStyle w:val="Cabealho"/>
            <w:jc w:val="center"/>
            <w:rPr>
              <w:b/>
              <w:bCs/>
              <w:sz w:val="32"/>
              <w:szCs w:val="32"/>
            </w:rPr>
          </w:pPr>
          <w:r w:rsidRPr="003C6D9F">
            <w:rPr>
              <w:b/>
              <w:bCs/>
              <w:sz w:val="32"/>
              <w:szCs w:val="32"/>
            </w:rPr>
            <w:t xml:space="preserve">ENTREGAS SOLICITADAS </w:t>
          </w:r>
        </w:p>
        <w:p w14:paraId="2097FE13" w14:textId="416CBA8A" w:rsidR="00D0069F" w:rsidRPr="003C6D9F" w:rsidRDefault="008B45CD" w:rsidP="007673E1">
          <w:pPr>
            <w:pStyle w:val="Cabealho"/>
            <w:jc w:val="center"/>
            <w:rPr>
              <w:sz w:val="32"/>
              <w:szCs w:val="32"/>
            </w:rPr>
          </w:pPr>
          <w:r w:rsidRPr="003C6D9F">
            <w:rPr>
              <w:b/>
              <w:bCs/>
              <w:sz w:val="32"/>
              <w:szCs w:val="32"/>
            </w:rPr>
            <w:t>FASE 5</w:t>
          </w:r>
          <w:r w:rsidR="007673E1" w:rsidRPr="003C6D9F">
            <w:rPr>
              <w:b/>
              <w:bCs/>
              <w:sz w:val="32"/>
              <w:szCs w:val="32"/>
            </w:rPr>
            <w:t xml:space="preserve"> </w:t>
          </w:r>
          <w:r w:rsidRPr="003C6D9F">
            <w:rPr>
              <w:b/>
              <w:bCs/>
              <w:sz w:val="32"/>
              <w:szCs w:val="32"/>
            </w:rPr>
            <w:t>DATA INTELLIGENCE &amp; ANALYTICS</w:t>
          </w:r>
        </w:p>
      </w:tc>
    </w:tr>
  </w:tbl>
  <w:p w14:paraId="51211AA8" w14:textId="77777777" w:rsidR="008B45CD" w:rsidRPr="008B45CD" w:rsidRDefault="008B45CD" w:rsidP="008B45CD">
    <w:pPr>
      <w:pStyle w:val="Cabealho"/>
      <w:ind w:left="-15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F5C9E"/>
    <w:multiLevelType w:val="hybridMultilevel"/>
    <w:tmpl w:val="D7F44C10"/>
    <w:lvl w:ilvl="0" w:tplc="ADB220A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43"/>
    <w:rsid w:val="0009293C"/>
    <w:rsid w:val="001F5B33"/>
    <w:rsid w:val="00224055"/>
    <w:rsid w:val="00264E99"/>
    <w:rsid w:val="00270730"/>
    <w:rsid w:val="002C6A20"/>
    <w:rsid w:val="00344117"/>
    <w:rsid w:val="00353F2C"/>
    <w:rsid w:val="003C6D9F"/>
    <w:rsid w:val="004272E3"/>
    <w:rsid w:val="00537FE8"/>
    <w:rsid w:val="005617FF"/>
    <w:rsid w:val="005918AB"/>
    <w:rsid w:val="00624085"/>
    <w:rsid w:val="00694401"/>
    <w:rsid w:val="006A10E1"/>
    <w:rsid w:val="006E0722"/>
    <w:rsid w:val="007673E1"/>
    <w:rsid w:val="007E6B2D"/>
    <w:rsid w:val="0083543D"/>
    <w:rsid w:val="00845305"/>
    <w:rsid w:val="008B45CD"/>
    <w:rsid w:val="009100B5"/>
    <w:rsid w:val="00A808C4"/>
    <w:rsid w:val="00A847F0"/>
    <w:rsid w:val="00AF0EC2"/>
    <w:rsid w:val="00BC51DB"/>
    <w:rsid w:val="00C05A59"/>
    <w:rsid w:val="00C5443B"/>
    <w:rsid w:val="00D0069F"/>
    <w:rsid w:val="00D5146A"/>
    <w:rsid w:val="00E36D43"/>
    <w:rsid w:val="00EA53AC"/>
    <w:rsid w:val="00F3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33C2A"/>
  <w15:chartTrackingRefBased/>
  <w15:docId w15:val="{1822FB0F-3186-4445-8872-9C856190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E3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6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6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6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6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6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6D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6D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6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6D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6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6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6D43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6D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6D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6D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6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6D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6D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6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E3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B45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45CD"/>
  </w:style>
  <w:style w:type="paragraph" w:styleId="Rodap">
    <w:name w:val="footer"/>
    <w:basedOn w:val="Normal"/>
    <w:link w:val="RodapChar"/>
    <w:uiPriority w:val="99"/>
    <w:unhideWhenUsed/>
    <w:rsid w:val="008B45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45CD"/>
  </w:style>
  <w:style w:type="paragraph" w:styleId="Corpodetexto">
    <w:name w:val="Body Text"/>
    <w:basedOn w:val="Normal"/>
    <w:link w:val="CorpodetextoChar"/>
    <w:uiPriority w:val="99"/>
    <w:unhideWhenUsed/>
    <w:rsid w:val="00BC51DB"/>
    <w:pPr>
      <w:spacing w:after="120" w:line="360" w:lineRule="auto"/>
      <w:ind w:firstLine="709"/>
      <w:jc w:val="both"/>
    </w:pPr>
    <w:rPr>
      <w:rFonts w:ascii="Arial" w:eastAsia="Calibri" w:hAnsi="Arial" w:cs="Times New Roman"/>
      <w:kern w:val="0"/>
      <w:szCs w:val="22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BC51DB"/>
    <w:rPr>
      <w:rFonts w:ascii="Arial" w:eastAsia="Calibri" w:hAnsi="Arial"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1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587DEE977C9143A042F3416864AA9F" ma:contentTypeVersion="14" ma:contentTypeDescription="Crie um novo documento." ma:contentTypeScope="" ma:versionID="b776d5c7476308f23990203070e527c2">
  <xsd:schema xmlns:xsd="http://www.w3.org/2001/XMLSchema" xmlns:xs="http://www.w3.org/2001/XMLSchema" xmlns:p="http://schemas.microsoft.com/office/2006/metadata/properties" xmlns:ns2="34cf085e-19ad-4e7f-97e3-12854e4d6797" xmlns:ns3="00791995-7579-403d-890a-6e3e017e0c43" targetNamespace="http://schemas.microsoft.com/office/2006/metadata/properties" ma:root="true" ma:fieldsID="ccf2e705405bc4c319ffb32212e0e85a" ns2:_="" ns3:_="">
    <xsd:import namespace="34cf085e-19ad-4e7f-97e3-12854e4d6797"/>
    <xsd:import namespace="00791995-7579-403d-890a-6e3e017e0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f085e-19ad-4e7f-97e3-12854e4d6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91995-7579-403d-890a-6e3e017e0c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2ce42ba-8035-4113-bdb9-87496ce687b4}" ma:internalName="TaxCatchAll" ma:showField="CatchAllData" ma:web="00791995-7579-403d-890a-6e3e017e0c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791995-7579-403d-890a-6e3e017e0c43" xsi:nil="true"/>
    <lcf76f155ced4ddcb4097134ff3c332f xmlns="34cf085e-19ad-4e7f-97e3-12854e4d67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EF466B-BA85-4E31-87DB-9A85B1416E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522AE0-D944-45F0-8B51-2D60041C88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cf085e-19ad-4e7f-97e3-12854e4d6797"/>
    <ds:schemaRef ds:uri="00791995-7579-403d-890a-6e3e017e0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69589A-5555-4C80-953F-2C6283ED8313}">
  <ds:schemaRefs>
    <ds:schemaRef ds:uri="http://schemas.microsoft.com/office/2006/metadata/properties"/>
    <ds:schemaRef ds:uri="http://schemas.microsoft.com/office/infopath/2007/PartnerControls"/>
    <ds:schemaRef ds:uri="00791995-7579-403d-890a-6e3e017e0c43"/>
    <ds:schemaRef ds:uri="34cf085e-19ad-4e7f-97e3-12854e4d67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Salvio Padlipskas</dc:creator>
  <cp:keywords/>
  <dc:description/>
  <cp:lastModifiedBy>Juliana Dini Jose</cp:lastModifiedBy>
  <cp:revision>19</cp:revision>
  <dcterms:created xsi:type="dcterms:W3CDTF">2026-06-05T05:56:00Z</dcterms:created>
  <dcterms:modified xsi:type="dcterms:W3CDTF">2026-07-06T16:00:00Z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0x01010086587DEE977C9143A042F3416864AA9F</vt:lpwstr>
  </property>
</Properties>
</file>