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Q2 财务分析简报</w:t>
      </w:r>
    </w:p>
    <w:p>
      <w:r>
        <w:rPr>
          <w:b/>
        </w:rPr>
        <w:t>摘要：</w:t>
      </w:r>
      <w:r>
        <w:t>本季度公司营收同比+18%，毛利率维持 32%，归母净利润+25%。现金流改善显著，资产负债率降至 41%。建议维持「买入」评级。</w:t>
      </w:r>
    </w:p>
    <w:p>
      <w:pPr>
        <w:pStyle w:val="Heading2"/>
      </w:pPr>
      <w:r>
        <w:t>一、财务表现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2026 Q2</w:t>
            </w:r>
          </w:p>
        </w:tc>
        <w:tc>
          <w:tcPr>
            <w:tcW w:type="dxa" w:w="2880"/>
          </w:tcPr>
          <w:p>
            <w:r>
              <w:t>同比</w:t>
            </w:r>
          </w:p>
        </w:tc>
      </w:tr>
      <w:tr>
        <w:tc>
          <w:tcPr>
            <w:tcW w:type="dxa" w:w="2880"/>
          </w:tcPr>
          <w:p>
            <w:r>
              <w:t>营收（亿元）</w:t>
            </w:r>
          </w:p>
        </w:tc>
        <w:tc>
          <w:tcPr>
            <w:tcW w:type="dxa" w:w="2880"/>
          </w:tcPr>
          <w:p>
            <w:r>
              <w:t>12.4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  <w:tr>
        <w:tc>
          <w:tcPr>
            <w:tcW w:type="dxa" w:w="2880"/>
          </w:tcPr>
          <w:p>
            <w:r>
              <w:t>毛利率</w:t>
            </w:r>
          </w:p>
        </w:tc>
        <w:tc>
          <w:tcPr>
            <w:tcW w:type="dxa" w:w="2880"/>
          </w:tcPr>
          <w:p>
            <w:r>
              <w:t>32%</w:t>
            </w:r>
          </w:p>
        </w:tc>
        <w:tc>
          <w:tcPr>
            <w:tcW w:type="dxa" w:w="2880"/>
          </w:tcPr>
          <w:p>
            <w:r>
              <w:t>+1.2pp</w:t>
            </w:r>
          </w:p>
        </w:tc>
      </w:tr>
      <w:tr>
        <w:tc>
          <w:tcPr>
            <w:tcW w:type="dxa" w:w="2880"/>
          </w:tcPr>
          <w:p>
            <w:r>
              <w:t>归母净利润（亿元）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+25%</w:t>
            </w:r>
          </w:p>
        </w:tc>
      </w:tr>
      <w:tr>
        <w:tc>
          <w:tcPr>
            <w:tcW w:type="dxa" w:w="2880"/>
          </w:tcPr>
          <w:p>
            <w:r>
              <w:t>资产负债率</w:t>
            </w:r>
          </w:p>
        </w:tc>
        <w:tc>
          <w:tcPr>
            <w:tcW w:type="dxa" w:w="2880"/>
          </w:tcPr>
          <w:p>
            <w:r>
              <w:t>41%</w:t>
            </w:r>
          </w:p>
        </w:tc>
        <w:tc>
          <w:tcPr>
            <w:tcW w:type="dxa" w:w="2880"/>
          </w:tcPr>
          <w:p>
            <w:r>
              <w:t>-3.5pp</w:t>
            </w:r>
          </w:p>
        </w:tc>
      </w:tr>
    </w:tbl>
    <w:p>
      <w:r>
        <w:t>数据来源：89-financial-analyst V11.0 工作台产出（基于三表分析）</w:t>
      </w:r>
    </w:p>
    <w:p>
      <w:pPr>
        <w:pStyle w:val="Heading2"/>
      </w:pPr>
      <w:r>
        <w:t>二、经营分析</w:t>
      </w:r>
    </w:p>
    <w:p>
      <w:r>
        <w:t>本季度核心业务收入占比提升至 78%，新业务线初步贡献 8% 营收。研发费用占营收比 15%，与去年同期持平。客户结构上，KA 客户续约率 92%，新增中型客户 14 家。</w:t>
      </w:r>
    </w:p>
    <w:p>
      <w:pPr>
        <w:pStyle w:val="Heading2"/>
      </w:pPr>
      <w:r>
        <w:t>三、投资建议与风险</w:t>
      </w:r>
    </w:p>
    <w:p>
      <w:r>
        <w:t>建议维持「买入」评级，目标价较当前价 +20% 空间。主要风险：（1）原材料价格波动；（2）海外业务汇率风险；（3）行业政策变化。</w:t>
      </w:r>
    </w:p>
    <w:p>
      <w:r>
        <w:br/>
        <w:br/>
        <w:t>报告日期：2026-08-26    出品：89-financial-analyst V11.0    源数据：模拟演示数据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