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40"/>
      </w:pPr>
      <w:r>
        <w:rPr>
          <w:rFonts w:ascii="Arial" w:hAnsi="Arial" w:eastAsia="Arial"/>
          <w:b/>
          <w:color w:val="159A9C"/>
          <w:sz w:val="20"/>
        </w:rPr>
        <w:t>CAPSTONE PROJECT STEP 2</w:t>
      </w:r>
    </w:p>
    <w:p>
      <w:pPr>
        <w:pStyle w:val="Title"/>
      </w:pPr>
      <w:r>
        <w:t>DIAL ALERT Data Collection and Understanding</w:t>
      </w:r>
    </w:p>
    <w:p>
      <w:pPr>
        <w:spacing w:after="520"/>
      </w:pPr>
      <w:r>
        <w:rPr>
          <w:rFonts w:ascii="Arial" w:hAnsi="Arial" w:eastAsia="Arial"/>
          <w:color w:val="1D6F8A"/>
          <w:sz w:val="32"/>
        </w:rPr>
        <w:t>Dataset overview and complete data dictionary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41"/>
        <w:gridCol w:w="2541"/>
        <w:gridCol w:w="2541"/>
        <w:gridCol w:w="2541"/>
      </w:tblGrid>
      <w:tr>
        <w:tc>
          <w:tcPr>
            <w:tcW w:type="dxa" w:w="2466"/>
            <w:shd w:fill="E7F5F3"/>
            <w:tcMar>
              <w:top w:w="115" w:type="dxa"/>
              <w:start w:w="70" w:type="dxa"/>
              <w:bottom w:w="115" w:type="dxa"/>
              <w:end w:w="70" w:type="dxa"/>
            </w:tcMar>
          </w:tcPr>
          <w:p>
            <w:pPr>
              <w:spacing w:after="20"/>
              <w:jc w:val="center"/>
            </w:pPr>
            <w:r>
              <w:rPr>
                <w:rFonts w:ascii="Arial" w:hAnsi="Arial" w:eastAsia="Arial"/>
                <w:b/>
                <w:color w:val="17324D"/>
                <w:sz w:val="34"/>
              </w:rPr>
              <w:t>1,072</w:t>
            </w:r>
          </w:p>
          <w:p>
            <w:pPr>
              <w:spacing w:after="0"/>
              <w:jc w:val="center"/>
            </w:pPr>
            <w:r>
              <w:rPr>
                <w:rFonts w:ascii="Arial" w:hAnsi="Arial" w:eastAsia="Arial"/>
                <w:b/>
                <w:color w:val="596875"/>
                <w:sz w:val="15"/>
              </w:rPr>
              <w:t>PUBLIC PATIENT RECORDS</w:t>
            </w:r>
          </w:p>
        </w:tc>
        <w:tc>
          <w:tcPr>
            <w:tcW w:type="dxa" w:w="2466"/>
            <w:shd w:fill="EAF3F7"/>
            <w:tcMar>
              <w:top w:w="115" w:type="dxa"/>
              <w:start w:w="70" w:type="dxa"/>
              <w:bottom w:w="115" w:type="dxa"/>
              <w:end w:w="70" w:type="dxa"/>
            </w:tcMar>
          </w:tcPr>
          <w:p>
            <w:pPr>
              <w:spacing w:after="20"/>
              <w:jc w:val="center"/>
            </w:pPr>
            <w:r>
              <w:rPr>
                <w:rFonts w:ascii="Arial" w:hAnsi="Arial" w:eastAsia="Arial"/>
                <w:b/>
                <w:color w:val="17324D"/>
                <w:sz w:val="34"/>
              </w:rPr>
              <w:t>165,986</w:t>
            </w:r>
          </w:p>
          <w:p>
            <w:pPr>
              <w:spacing w:after="0"/>
              <w:jc w:val="center"/>
            </w:pPr>
            <w:r>
              <w:rPr>
                <w:rFonts w:ascii="Arial" w:hAnsi="Arial" w:eastAsia="Arial"/>
                <w:b/>
                <w:color w:val="596875"/>
                <w:sz w:val="15"/>
              </w:rPr>
              <w:t>SESSION ROWS</w:t>
            </w:r>
          </w:p>
        </w:tc>
        <w:tc>
          <w:tcPr>
            <w:tcW w:type="dxa" w:w="2466"/>
            <w:shd w:fill="E7F5F3"/>
            <w:tcMar>
              <w:top w:w="115" w:type="dxa"/>
              <w:start w:w="70" w:type="dxa"/>
              <w:bottom w:w="115" w:type="dxa"/>
              <w:end w:w="70" w:type="dxa"/>
            </w:tcMar>
          </w:tcPr>
          <w:p>
            <w:pPr>
              <w:spacing w:after="20"/>
              <w:jc w:val="center"/>
            </w:pPr>
            <w:r>
              <w:rPr>
                <w:rFonts w:ascii="Arial" w:hAnsi="Arial" w:eastAsia="Arial"/>
                <w:b/>
                <w:color w:val="17324D"/>
                <w:sz w:val="34"/>
              </w:rPr>
              <w:t>4.37M</w:t>
            </w:r>
          </w:p>
          <w:p>
            <w:pPr>
              <w:spacing w:after="0"/>
              <w:jc w:val="center"/>
            </w:pPr>
            <w:r>
              <w:rPr>
                <w:rFonts w:ascii="Arial" w:hAnsi="Arial" w:eastAsia="Arial"/>
                <w:b/>
                <w:color w:val="596875"/>
                <w:sz w:val="15"/>
              </w:rPr>
              <w:t>MONITOR RECORDS</w:t>
            </w:r>
          </w:p>
        </w:tc>
        <w:tc>
          <w:tcPr>
            <w:tcW w:type="dxa" w:w="2466"/>
            <w:shd w:fill="EAF3F7"/>
            <w:tcMar>
              <w:top w:w="115" w:type="dxa"/>
              <w:start w:w="70" w:type="dxa"/>
              <w:bottom w:w="115" w:type="dxa"/>
              <w:end w:w="70" w:type="dxa"/>
            </w:tcMar>
          </w:tcPr>
          <w:p>
            <w:pPr>
              <w:spacing w:after="20"/>
              <w:jc w:val="center"/>
            </w:pPr>
            <w:r>
              <w:rPr>
                <w:rFonts w:ascii="Arial" w:hAnsi="Arial" w:eastAsia="Arial"/>
                <w:b/>
                <w:color w:val="17324D"/>
                <w:sz w:val="34"/>
              </w:rPr>
              <w:t>106,758</w:t>
            </w:r>
          </w:p>
          <w:p>
            <w:pPr>
              <w:spacing w:after="0"/>
              <w:jc w:val="center"/>
            </w:pPr>
            <w:r>
              <w:rPr>
                <w:rFonts w:ascii="Arial" w:hAnsi="Arial" w:eastAsia="Arial"/>
                <w:b/>
                <w:color w:val="596875"/>
                <w:sz w:val="15"/>
              </w:rPr>
              <w:t>ELIGIBLE SESSIONS</w:t>
            </w:r>
          </w:p>
        </w:tc>
      </w:tr>
    </w:tbl>
    <w:p>
      <w:pPr>
        <w:spacing w:after="0"/>
      </w:pPr>
    </w:p>
    <w:p>
      <w:pPr>
        <w:spacing w:after="400"/>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1800"/>
            <w:tcMar>
              <w:top w:w="35" w:type="dxa"/>
              <w:start w:w="0" w:type="dxa"/>
              <w:bottom w:w="35" w:type="dxa"/>
              <w:end w:w="70" w:type="dxa"/>
            </w:tcMar>
          </w:tcPr>
          <w:p>
            <w:pPr>
              <w:spacing w:after="0"/>
            </w:pPr>
            <w:r>
              <w:rPr>
                <w:rFonts w:ascii="Arial" w:hAnsi="Arial" w:eastAsia="Arial"/>
                <w:b/>
                <w:color w:val="596875"/>
                <w:sz w:val="15"/>
              </w:rPr>
              <w:t>PREPARED BY</w:t>
            </w:r>
          </w:p>
        </w:tc>
        <w:tc>
          <w:tcPr>
            <w:tcW w:type="dxa" w:w="7704"/>
            <w:tcMar>
              <w:top w:w="35" w:type="dxa"/>
              <w:start w:w="0" w:type="dxa"/>
              <w:bottom w:w="35" w:type="dxa"/>
              <w:end w:w="70" w:type="dxa"/>
            </w:tcMar>
          </w:tcPr>
          <w:p>
            <w:pPr>
              <w:spacing w:after="0"/>
            </w:pPr>
            <w:r>
              <w:rPr>
                <w:rFonts w:ascii="Arial" w:hAnsi="Arial" w:eastAsia="Arial"/>
                <w:b/>
                <w:color w:val="202B36"/>
                <w:sz w:val="19"/>
              </w:rPr>
              <w:t>Franklin Guillano</w:t>
            </w:r>
          </w:p>
        </w:tc>
      </w:tr>
      <w:tr>
        <w:tc>
          <w:tcPr>
            <w:tcW w:type="dxa" w:w="1800"/>
            <w:tcMar>
              <w:top w:w="35" w:type="dxa"/>
              <w:start w:w="0" w:type="dxa"/>
              <w:bottom w:w="35" w:type="dxa"/>
              <w:end w:w="70" w:type="dxa"/>
            </w:tcMar>
          </w:tcPr>
          <w:p>
            <w:pPr>
              <w:spacing w:after="0"/>
            </w:pPr>
            <w:r>
              <w:rPr>
                <w:rFonts w:ascii="Arial" w:hAnsi="Arial" w:eastAsia="Arial"/>
                <w:b/>
                <w:color w:val="596875"/>
                <w:sz w:val="15"/>
              </w:rPr>
              <w:t>PROJECT</w:t>
            </w:r>
          </w:p>
        </w:tc>
        <w:tc>
          <w:tcPr>
            <w:tcW w:type="dxa" w:w="7704"/>
            <w:tcMar>
              <w:top w:w="35" w:type="dxa"/>
              <w:start w:w="0" w:type="dxa"/>
              <w:bottom w:w="35" w:type="dxa"/>
              <w:end w:w="70" w:type="dxa"/>
            </w:tcMar>
          </w:tcPr>
          <w:p>
            <w:pPr>
              <w:spacing w:after="0"/>
            </w:pPr>
            <w:r>
              <w:rPr>
                <w:rFonts w:ascii="Arial" w:hAnsi="Arial" w:eastAsia="Arial"/>
                <w:b w:val="0"/>
                <w:color w:val="202B36"/>
                <w:sz w:val="19"/>
              </w:rPr>
              <w:t>DIAL ALERT Early Warning for Intradialytic Hypotension</w:t>
            </w:r>
          </w:p>
        </w:tc>
      </w:tr>
      <w:tr>
        <w:tc>
          <w:tcPr>
            <w:tcW w:type="dxa" w:w="1800"/>
            <w:tcMar>
              <w:top w:w="35" w:type="dxa"/>
              <w:start w:w="0" w:type="dxa"/>
              <w:bottom w:w="35" w:type="dxa"/>
              <w:end w:w="70" w:type="dxa"/>
            </w:tcMar>
          </w:tcPr>
          <w:p>
            <w:pPr>
              <w:spacing w:after="0"/>
            </w:pPr>
            <w:r>
              <w:rPr>
                <w:rFonts w:ascii="Arial" w:hAnsi="Arial" w:eastAsia="Arial"/>
                <w:b/>
                <w:color w:val="596875"/>
                <w:sz w:val="15"/>
              </w:rPr>
              <w:t>SOURCE DATASET</w:t>
            </w:r>
          </w:p>
        </w:tc>
        <w:tc>
          <w:tcPr>
            <w:tcW w:type="dxa" w:w="7704"/>
            <w:tcMar>
              <w:top w:w="35" w:type="dxa"/>
              <w:start w:w="0" w:type="dxa"/>
              <w:bottom w:w="35" w:type="dxa"/>
              <w:end w:w="70" w:type="dxa"/>
            </w:tcMar>
          </w:tcPr>
          <w:p>
            <w:pPr>
              <w:spacing w:after="0"/>
            </w:pPr>
            <w:r>
              <w:rPr>
                <w:rFonts w:ascii="Arial" w:hAnsi="Arial" w:eastAsia="Arial"/>
                <w:b w:val="0"/>
                <w:color w:val="202B36"/>
                <w:sz w:val="19"/>
              </w:rPr>
              <w:t>HEMOBP Version 3</w:t>
            </w:r>
          </w:p>
        </w:tc>
      </w:tr>
      <w:tr>
        <w:tc>
          <w:tcPr>
            <w:tcW w:type="dxa" w:w="1800"/>
            <w:tcMar>
              <w:top w:w="35" w:type="dxa"/>
              <w:start w:w="0" w:type="dxa"/>
              <w:bottom w:w="35" w:type="dxa"/>
              <w:end w:w="70" w:type="dxa"/>
            </w:tcMar>
          </w:tcPr>
          <w:p>
            <w:pPr>
              <w:spacing w:after="0"/>
            </w:pPr>
            <w:r>
              <w:rPr>
                <w:rFonts w:ascii="Arial" w:hAnsi="Arial" w:eastAsia="Arial"/>
                <w:b/>
                <w:color w:val="596875"/>
                <w:sz w:val="15"/>
              </w:rPr>
              <w:t>REPORT DATE</w:t>
            </w:r>
          </w:p>
        </w:tc>
        <w:tc>
          <w:tcPr>
            <w:tcW w:type="dxa" w:w="7704"/>
            <w:tcMar>
              <w:top w:w="35" w:type="dxa"/>
              <w:start w:w="0" w:type="dxa"/>
              <w:bottom w:w="35" w:type="dxa"/>
              <w:end w:w="70" w:type="dxa"/>
            </w:tcMar>
          </w:tcPr>
          <w:p>
            <w:pPr>
              <w:spacing w:after="0"/>
            </w:pPr>
            <w:r>
              <w:rPr>
                <w:rFonts w:ascii="Arial" w:hAnsi="Arial" w:eastAsia="Arial"/>
                <w:b w:val="0"/>
                <w:color w:val="202B36"/>
                <w:sz w:val="19"/>
              </w:rPr>
              <w:t>September 2026</w:t>
            </w:r>
          </w:p>
        </w:tc>
      </w:tr>
    </w:tbl>
    <w:p>
      <w:pPr>
        <w:spacing w:after="4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08"/>
      </w:tblGrid>
      <w:tr>
        <w:tc>
          <w:tcPr>
            <w:tcW w:type="dxa" w:w="10166"/>
            <w:shd w:fill="FFF3D6"/>
            <w:tcMar>
              <w:top w:w="105" w:type="dxa"/>
              <w:start w:w="120" w:type="dxa"/>
              <w:bottom w:w="105" w:type="dxa"/>
              <w:end w:w="120" w:type="dxa"/>
            </w:tcMar>
          </w:tcPr>
          <w:p>
            <w:pPr>
              <w:spacing w:after="0"/>
            </w:pPr>
            <w:r>
              <w:rPr>
                <w:rFonts w:ascii="Arial" w:hAnsi="Arial" w:eastAsia="Arial"/>
                <w:b/>
                <w:color w:val="17324D"/>
                <w:sz w:val="18"/>
              </w:rPr>
              <w:t>ACADEMIC DECISION SUPPORT STUDY   NOT FOR CLINICAL CARE</w:t>
            </w:r>
          </w:p>
        </w:tc>
      </w:tr>
    </w:tbl>
    <w:p>
      <w:pPr>
        <w:spacing w:after="0"/>
      </w:pPr>
      <w:r>
        <w:rPr>
          <w:rFonts w:ascii="Arial" w:hAnsi="Arial" w:eastAsia="Arial"/>
          <w:i/>
          <w:color w:val="202B36"/>
        </w:rPr>
        <w:t>This report documents dataset provenance, structure, completeness, validity checks, cohort construction, and variable definitions before model development. It does not establish clinical safety or readiness for patient care.</w:t>
      </w:r>
    </w:p>
    <w:p>
      <w:r>
        <w:br w:type="page"/>
      </w:r>
    </w:p>
    <w:p>
      <w:pPr>
        <w:pStyle w:val="Heading1"/>
      </w:pPr>
      <w:r>
        <w:t>Executive Summary</w:t>
      </w:r>
    </w:p>
    <w:p>
      <w:pPr>
        <w:spacing w:after="100"/>
      </w:pPr>
      <w:r>
        <w:rPr>
          <w:rFonts w:ascii="Arial" w:hAnsi="Arial" w:eastAsia="Arial"/>
          <w:i w:val="0"/>
          <w:color w:val="202B36"/>
        </w:rPr>
        <w:t>DIAL ALERT uses HEMOBP Version 3, a public, de-identified hemodialysis dataset released on Figshare under CC BY 4.0 and described in Scientific Data. The source combines patient characteristics, session-level treatment records, and time-stamped blood-pressure and dialysis-machine measurements. This longitudinal structure is well aligned with the proposed classification task: estimate, at the start of a dialysis session, the probability of a later blood-pressure-defined intradialytic hypotension event. [1,2]</w:t>
      </w:r>
    </w:p>
    <w:p>
      <w:pPr>
        <w:spacing w:after="100"/>
      </w:pPr>
      <w:r>
        <w:rPr>
          <w:rFonts w:ascii="Arial" w:hAnsi="Arial" w:eastAsia="Arial"/>
          <w:i w:val="0"/>
          <w:color w:val="202B36"/>
        </w:rPr>
        <w:t>The downloaded public files contain 1,072 patient records, 165,986 session rows, and 4,366,298 monitor records. After deterministic patient-date linkage and preregistered eligibility checks, the analysis-ready table contains 106,758 sessions from 830 patients. The primary label occurs in 9,067 sessions, a prevalence of 8.493%. All counts in this report come from the actual files, not from values copied from the publication.</w:t>
      </w:r>
    </w:p>
    <w:p>
      <w:pPr>
        <w:spacing w:after="100"/>
      </w:pPr>
      <w:r>
        <w:rPr>
          <w:rFonts w:ascii="Arial" w:hAnsi="Arial" w:eastAsia="Arial"/>
          <w:i w:val="0"/>
          <w:color w:val="202B36"/>
        </w:rPr>
        <w:t>The dataset is strong enough for a rigorous academic capstone, but it is not a deployment-grade clinical dataset. It is retrospective and single-center; the public files do not contain symptoms, interventions, medications, laboratory results, or broad comorbidity profiles. Accordingly, the primary outcome is explicitly described as BP-defined IDH rather than a complete symptomatic clinical diagnosis.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41"/>
        <w:gridCol w:w="2541"/>
        <w:gridCol w:w="2541"/>
        <w:gridCol w:w="2541"/>
      </w:tblGrid>
      <w:tr>
        <w:tc>
          <w:tcPr>
            <w:tcW w:type="dxa" w:w="2466"/>
            <w:shd w:fill="E7F5F3"/>
            <w:tcMar>
              <w:top w:w="115" w:type="dxa"/>
              <w:start w:w="70" w:type="dxa"/>
              <w:bottom w:w="115" w:type="dxa"/>
              <w:end w:w="70" w:type="dxa"/>
            </w:tcMar>
          </w:tcPr>
          <w:p>
            <w:pPr>
              <w:spacing w:after="20"/>
              <w:jc w:val="center"/>
            </w:pPr>
            <w:r>
              <w:rPr>
                <w:rFonts w:ascii="Arial" w:hAnsi="Arial" w:eastAsia="Arial"/>
                <w:b/>
                <w:color w:val="17324D"/>
                <w:sz w:val="34"/>
              </w:rPr>
              <w:t>830</w:t>
            </w:r>
          </w:p>
          <w:p>
            <w:pPr>
              <w:spacing w:after="0"/>
              <w:jc w:val="center"/>
            </w:pPr>
            <w:r>
              <w:rPr>
                <w:rFonts w:ascii="Arial" w:hAnsi="Arial" w:eastAsia="Arial"/>
                <w:b/>
                <w:color w:val="596875"/>
                <w:sz w:val="15"/>
              </w:rPr>
              <w:t>ANALYTIC PATIENTS</w:t>
            </w:r>
          </w:p>
        </w:tc>
        <w:tc>
          <w:tcPr>
            <w:tcW w:type="dxa" w:w="2466"/>
            <w:shd w:fill="EAF3F7"/>
            <w:tcMar>
              <w:top w:w="115" w:type="dxa"/>
              <w:start w:w="70" w:type="dxa"/>
              <w:bottom w:w="115" w:type="dxa"/>
              <w:end w:w="70" w:type="dxa"/>
            </w:tcMar>
          </w:tcPr>
          <w:p>
            <w:pPr>
              <w:spacing w:after="20"/>
              <w:jc w:val="center"/>
            </w:pPr>
            <w:r>
              <w:rPr>
                <w:rFonts w:ascii="Arial" w:hAnsi="Arial" w:eastAsia="Arial"/>
                <w:b/>
                <w:color w:val="17324D"/>
                <w:sz w:val="34"/>
              </w:rPr>
              <w:t>40</w:t>
            </w:r>
          </w:p>
          <w:p>
            <w:pPr>
              <w:spacing w:after="0"/>
              <w:jc w:val="center"/>
            </w:pPr>
            <w:r>
              <w:rPr>
                <w:rFonts w:ascii="Arial" w:hAnsi="Arial" w:eastAsia="Arial"/>
                <w:b/>
                <w:color w:val="596875"/>
                <w:sz w:val="15"/>
              </w:rPr>
              <w:t>ANALYTIC VARIABLES</w:t>
            </w:r>
          </w:p>
        </w:tc>
        <w:tc>
          <w:tcPr>
            <w:tcW w:type="dxa" w:w="2466"/>
            <w:shd w:fill="E7F5F3"/>
            <w:tcMar>
              <w:top w:w="115" w:type="dxa"/>
              <w:start w:w="70" w:type="dxa"/>
              <w:bottom w:w="115" w:type="dxa"/>
              <w:end w:w="70" w:type="dxa"/>
            </w:tcMar>
          </w:tcPr>
          <w:p>
            <w:pPr>
              <w:spacing w:after="20"/>
              <w:jc w:val="center"/>
            </w:pPr>
            <w:r>
              <w:rPr>
                <w:rFonts w:ascii="Arial" w:hAnsi="Arial" w:eastAsia="Arial"/>
                <w:b/>
                <w:color w:val="17324D"/>
                <w:sz w:val="34"/>
              </w:rPr>
              <w:t>8.493%</w:t>
            </w:r>
          </w:p>
          <w:p>
            <w:pPr>
              <w:spacing w:after="0"/>
              <w:jc w:val="center"/>
            </w:pPr>
            <w:r>
              <w:rPr>
                <w:rFonts w:ascii="Arial" w:hAnsi="Arial" w:eastAsia="Arial"/>
                <w:b/>
                <w:color w:val="596875"/>
                <w:sz w:val="15"/>
              </w:rPr>
              <w:t>PRIMARY EVENT RATE</w:t>
            </w:r>
          </w:p>
        </w:tc>
        <w:tc>
          <w:tcPr>
            <w:tcW w:type="dxa" w:w="2466"/>
            <w:shd w:fill="EAF3F7"/>
            <w:tcMar>
              <w:top w:w="115" w:type="dxa"/>
              <w:start w:w="70" w:type="dxa"/>
              <w:bottom w:w="115" w:type="dxa"/>
              <w:end w:w="70" w:type="dxa"/>
            </w:tcMar>
          </w:tcPr>
          <w:p>
            <w:pPr>
              <w:spacing w:after="20"/>
              <w:jc w:val="center"/>
            </w:pPr>
            <w:r>
              <w:rPr>
                <w:rFonts w:ascii="Arial" w:hAnsi="Arial" w:eastAsia="Arial"/>
                <w:b/>
                <w:color w:val="17324D"/>
                <w:sz w:val="34"/>
              </w:rPr>
              <w:t>CC BY</w:t>
            </w:r>
          </w:p>
          <w:p>
            <w:pPr>
              <w:spacing w:after="0"/>
              <w:jc w:val="center"/>
            </w:pPr>
            <w:r>
              <w:rPr>
                <w:rFonts w:ascii="Arial" w:hAnsi="Arial" w:eastAsia="Arial"/>
                <w:b/>
                <w:color w:val="596875"/>
                <w:sz w:val="15"/>
              </w:rPr>
              <w:t>DATA LICENSE</w:t>
            </w:r>
          </w:p>
        </w:tc>
      </w:tr>
    </w:tbl>
    <w:p>
      <w:pPr>
        <w:spacing w:after="0"/>
      </w:pPr>
    </w:p>
    <w:p>
      <w:pPr>
        <w:pStyle w:val="Heading2"/>
      </w:pPr>
      <w:r>
        <w:t>Rubric Evidence</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5083"/>
        <w:gridCol w:w="5083"/>
      </w:tblGrid>
      <w:tr>
        <w:trPr>
          <w:tblHeader w:val="true"/>
          <w:cantSplit/>
        </w:trPr>
        <w:tc>
          <w:tcPr>
            <w:tcW w:type="dxa" w:w="2880"/>
            <w:shd w:fill="17324D"/>
            <w:tcMar>
              <w:top w:w="80" w:type="dxa"/>
              <w:start w:w="70" w:type="dxa"/>
              <w:bottom w:w="80" w:type="dxa"/>
              <w:end w:w="70" w:type="dxa"/>
            </w:tcMar>
            <w:vAlign w:val="center"/>
          </w:tcPr>
          <w:p>
            <w:pPr>
              <w:spacing w:after="0"/>
            </w:pPr>
            <w:r>
              <w:rPr>
                <w:rFonts w:ascii="Arial" w:hAnsi="Arial" w:eastAsia="Arial"/>
                <w:b/>
                <w:color w:val="FFFFFF"/>
                <w:sz w:val="16"/>
              </w:rPr>
              <w:t>Rubric expectation</w:t>
            </w:r>
          </w:p>
        </w:tc>
        <w:tc>
          <w:tcPr>
            <w:tcW w:type="dxa" w:w="6984"/>
            <w:shd w:fill="17324D"/>
            <w:tcMar>
              <w:top w:w="80" w:type="dxa"/>
              <w:start w:w="70" w:type="dxa"/>
              <w:bottom w:w="80" w:type="dxa"/>
              <w:end w:w="70" w:type="dxa"/>
            </w:tcMar>
            <w:vAlign w:val="center"/>
          </w:tcPr>
          <w:p>
            <w:pPr>
              <w:spacing w:after="0"/>
            </w:pPr>
            <w:r>
              <w:rPr>
                <w:rFonts w:ascii="Arial" w:hAnsi="Arial" w:eastAsia="Arial"/>
                <w:b/>
                <w:color w:val="FFFFFF"/>
                <w:sz w:val="16"/>
              </w:rPr>
              <w:t>Evidence in this deliverable</w:t>
            </w:r>
          </w:p>
        </w:tc>
      </w:tr>
      <w:tr>
        <w:trPr>
          <w:cantSplit/>
          <w:trHeight w:hRule="atLeast"/>
        </w:trPr>
        <w:tc>
          <w:tcPr>
            <w:tcW w:type="dxa" w:w="2880"/>
            <w:vAlign w:val="top"/>
            <w:tcMar>
              <w:top w:w="65" w:type="dxa"/>
              <w:start w:w="65" w:type="dxa"/>
              <w:bottom w:w="65" w:type="dxa"/>
              <w:end w:w="65" w:type="dxa"/>
            </w:tcMar>
          </w:tcPr>
          <w:p>
            <w:pPr>
              <w:spacing w:after="0" w:line="240" w:lineRule="auto"/>
            </w:pPr>
            <w:r>
              <w:rPr>
                <w:rFonts w:ascii="Arial" w:hAnsi="Arial" w:eastAsia="Arial"/>
                <w:color w:val="202B36"/>
                <w:sz w:val="16"/>
              </w:rPr>
              <w:t>High-quality dataset and source cited</w:t>
            </w:r>
          </w:p>
        </w:tc>
        <w:tc>
          <w:tcPr>
            <w:tcW w:type="dxa" w:w="6984"/>
            <w:vAlign w:val="top"/>
            <w:tcMar>
              <w:top w:w="65" w:type="dxa"/>
              <w:start w:w="65" w:type="dxa"/>
              <w:bottom w:w="65" w:type="dxa"/>
              <w:end w:w="65" w:type="dxa"/>
            </w:tcMar>
          </w:tcPr>
          <w:p>
            <w:pPr>
              <w:spacing w:after="0" w:line="240" w:lineRule="auto"/>
            </w:pPr>
            <w:r>
              <w:rPr>
                <w:rFonts w:ascii="Arial" w:hAnsi="Arial" w:eastAsia="Arial"/>
                <w:color w:val="202B36"/>
                <w:sz w:val="16"/>
              </w:rPr>
              <w:t>Peer-reviewed data descriptor, DOI-stable Figshare release, license documented, and file hashes verified.</w:t>
            </w:r>
          </w:p>
        </w:tc>
      </w:tr>
      <w:tr>
        <w:trPr>
          <w:cantSplit/>
          <w:trHeight w:hRule="atLeast"/>
        </w:trPr>
        <w:tc>
          <w:tcPr>
            <w:tcW w:type="dxa" w:w="2880"/>
            <w:vAlign w:val="top"/>
            <w:tcMar>
              <w:top w:w="65" w:type="dxa"/>
              <w:start w:w="65" w:type="dxa"/>
              <w:bottom w:w="65" w:type="dxa"/>
              <w:end w:w="65" w:type="dxa"/>
            </w:tcMar>
            <w:shd w:fill="F7FAFC"/>
          </w:tcPr>
          <w:p>
            <w:pPr>
              <w:spacing w:after="0" w:line="240" w:lineRule="auto"/>
            </w:pPr>
            <w:r>
              <w:rPr>
                <w:rFonts w:ascii="Arial" w:hAnsi="Arial" w:eastAsia="Arial"/>
                <w:color w:val="202B36"/>
                <w:sz w:val="16"/>
              </w:rPr>
              <w:t>Comprehensive dataset overview</w:t>
            </w:r>
          </w:p>
        </w:tc>
        <w:tc>
          <w:tcPr>
            <w:tcW w:type="dxa" w:w="6984"/>
            <w:vAlign w:val="top"/>
            <w:tcMar>
              <w:top w:w="65" w:type="dxa"/>
              <w:start w:w="65" w:type="dxa"/>
              <w:bottom w:w="65" w:type="dxa"/>
              <w:end w:w="65" w:type="dxa"/>
            </w:tcMar>
            <w:shd w:fill="F7FAFC"/>
          </w:tcPr>
          <w:p>
            <w:pPr>
              <w:spacing w:after="0" w:line="240" w:lineRule="auto"/>
            </w:pPr>
            <w:r>
              <w:rPr>
                <w:rFonts w:ascii="Arial" w:hAnsi="Arial" w:eastAsia="Arial"/>
                <w:color w:val="202B36"/>
                <w:sz w:val="16"/>
              </w:rPr>
              <w:t>Grain, dimensions, date coverage, linkage keys, cohort flow, missingness, duplicates, ranges, and outlier policy are reported.</w:t>
            </w:r>
          </w:p>
        </w:tc>
      </w:tr>
      <w:tr>
        <w:trPr>
          <w:cantSplit/>
          <w:trHeight w:hRule="atLeast"/>
        </w:trPr>
        <w:tc>
          <w:tcPr>
            <w:tcW w:type="dxa" w:w="2880"/>
            <w:vAlign w:val="top"/>
            <w:tcMar>
              <w:top w:w="65" w:type="dxa"/>
              <w:start w:w="65" w:type="dxa"/>
              <w:bottom w:w="65" w:type="dxa"/>
              <w:end w:w="65" w:type="dxa"/>
            </w:tcMar>
          </w:tcPr>
          <w:p>
            <w:pPr>
              <w:spacing w:after="0" w:line="240" w:lineRule="auto"/>
            </w:pPr>
            <w:r>
              <w:rPr>
                <w:rFonts w:ascii="Arial" w:hAnsi="Arial" w:eastAsia="Arial"/>
                <w:color w:val="202B36"/>
                <w:sz w:val="16"/>
              </w:rPr>
              <w:t>Complete data dictionary</w:t>
            </w:r>
          </w:p>
        </w:tc>
        <w:tc>
          <w:tcPr>
            <w:tcW w:type="dxa" w:w="6984"/>
            <w:vAlign w:val="top"/>
            <w:tcMar>
              <w:top w:w="65" w:type="dxa"/>
              <w:start w:w="65" w:type="dxa"/>
              <w:bottom w:w="65" w:type="dxa"/>
              <w:end w:w="65" w:type="dxa"/>
            </w:tcMar>
          </w:tcPr>
          <w:p>
            <w:pPr>
              <w:spacing w:after="0" w:line="240" w:lineRule="auto"/>
            </w:pPr>
            <w:r>
              <w:rPr>
                <w:rFonts w:ascii="Arial" w:hAnsi="Arial" w:eastAsia="Arial"/>
                <w:color w:val="202B36"/>
                <w:sz w:val="16"/>
              </w:rPr>
              <w:t>All 23 raw fields and all 40 analysis-table fields are defined with type, unit, values, missingness, meaning, and analytic role.</w:t>
            </w:r>
          </w:p>
        </w:tc>
      </w:tr>
      <w:tr>
        <w:trPr>
          <w:cantSplit/>
          <w:trHeight w:hRule="atLeast"/>
        </w:trPr>
        <w:tc>
          <w:tcPr>
            <w:tcW w:type="dxa" w:w="2880"/>
            <w:vAlign w:val="top"/>
            <w:tcMar>
              <w:top w:w="65" w:type="dxa"/>
              <w:start w:w="65" w:type="dxa"/>
              <w:bottom w:w="65" w:type="dxa"/>
              <w:end w:w="65" w:type="dxa"/>
            </w:tcMar>
            <w:shd w:fill="F7FAFC"/>
          </w:tcPr>
          <w:p>
            <w:pPr>
              <w:spacing w:after="0" w:line="240" w:lineRule="auto"/>
            </w:pPr>
            <w:r>
              <w:rPr>
                <w:rFonts w:ascii="Arial" w:hAnsi="Arial" w:eastAsia="Arial"/>
                <w:color w:val="202B36"/>
                <w:sz w:val="16"/>
              </w:rPr>
              <w:t>Reproducibility</w:t>
            </w:r>
          </w:p>
        </w:tc>
        <w:tc>
          <w:tcPr>
            <w:tcW w:type="dxa" w:w="6984"/>
            <w:vAlign w:val="top"/>
            <w:tcMar>
              <w:top w:w="65" w:type="dxa"/>
              <w:start w:w="65" w:type="dxa"/>
              <w:bottom w:w="65" w:type="dxa"/>
              <w:end w:w="65" w:type="dxa"/>
            </w:tcMar>
            <w:shd w:fill="F7FAFC"/>
          </w:tcPr>
          <w:p>
            <w:pPr>
              <w:spacing w:after="0" w:line="240" w:lineRule="auto"/>
            </w:pPr>
            <w:r>
              <w:rPr>
                <w:rFonts w:ascii="Arial" w:hAnsi="Arial" w:eastAsia="Arial"/>
                <w:color w:val="202B36"/>
                <w:sz w:val="16"/>
              </w:rPr>
              <w:t>Raw files are immutable; transformation rules are code-based; checksums, paths, and commands are documented.</w:t>
            </w:r>
          </w:p>
        </w:tc>
      </w:tr>
    </w:tbl>
    <w:p>
      <w:pPr>
        <w:spacing w:after="0"/>
      </w:pPr>
    </w:p>
    <w:p>
      <w:pPr>
        <w:pStyle w:val="Heading1"/>
      </w:pPr>
      <w:r>
        <w:t>Dataset Selection and Justification</w:t>
      </w:r>
    </w:p>
    <w:p>
      <w:pPr>
        <w:spacing w:after="100"/>
      </w:pPr>
      <w:r>
        <w:rPr>
          <w:rFonts w:ascii="Arial" w:hAnsi="Arial" w:eastAsia="Arial"/>
          <w:i w:val="0"/>
          <w:color w:val="202B36"/>
        </w:rPr>
        <w:t>HEMOBP was selected because its three linked tables support the exact temporal structure required by DIAL ALERT. Patient characteristics and predialysis measurements are available before or at the index time, while subsequent blood-pressure observations can define the outcome. This separation permits an auditable prediction-time boundary and reduces the risk of post-index data leakage.</w:t>
      </w:r>
    </w:p>
    <w:p>
      <w:pPr>
        <w:pStyle w:val="ListBullet"/>
        <w:spacing w:after="60"/>
        <w:ind w:left="317" w:hanging="173"/>
      </w:pPr>
      <w:r>
        <w:rPr>
          <w:rFonts w:ascii="Arial" w:hAnsi="Arial" w:eastAsia="Arial"/>
          <w:color w:val="202B36"/>
          <w:sz w:val="18"/>
        </w:rPr>
        <w:t>Industry relevance: hemodialysis is a repeated, safety-critical treatment process in which hypotension risk must be assessed session by session.</w:t>
      </w:r>
    </w:p>
    <w:p>
      <w:pPr>
        <w:pStyle w:val="ListBullet"/>
        <w:spacing w:after="60"/>
        <w:ind w:left="317" w:hanging="173"/>
      </w:pPr>
      <w:r>
        <w:rPr>
          <w:rFonts w:ascii="Arial" w:hAnsi="Arial" w:eastAsia="Arial"/>
          <w:color w:val="202B36"/>
          <w:sz w:val="18"/>
        </w:rPr>
        <w:t>Modelling relevance: the data support supervised binary classification, longitudinal history features, class-imbalance analysis, explainability, and patient-grouped validation.</w:t>
      </w:r>
    </w:p>
    <w:p>
      <w:pPr>
        <w:pStyle w:val="ListBullet"/>
        <w:spacing w:after="60"/>
        <w:ind w:left="317" w:hanging="173"/>
      </w:pPr>
      <w:r>
        <w:rPr>
          <w:rFonts w:ascii="Arial" w:hAnsi="Arial" w:eastAsia="Arial"/>
          <w:color w:val="202B36"/>
          <w:sz w:val="18"/>
        </w:rPr>
        <w:t>Scale: more than four million monitor records provide enough repeated observations for robust preprocessing and model comparison.</w:t>
      </w:r>
    </w:p>
    <w:p>
      <w:pPr>
        <w:pStyle w:val="ListBullet"/>
        <w:spacing w:after="60"/>
        <w:ind w:left="317" w:hanging="173"/>
      </w:pPr>
      <w:r>
        <w:rPr>
          <w:rFonts w:ascii="Arial" w:hAnsi="Arial" w:eastAsia="Arial"/>
          <w:color w:val="202B36"/>
          <w:sz w:val="18"/>
        </w:rPr>
        <w:t>Transparency: the peer-reviewed descriptor and versioned public archive make the acquisition route, license, and data-generating context traceable.</w:t>
      </w:r>
    </w:p>
    <w:p>
      <w:r>
        <w:br w:type="page"/>
      </w:r>
    </w:p>
    <w:p>
      <w:pPr>
        <w:pStyle w:val="Heading1"/>
      </w:pPr>
      <w:r>
        <w:t>Source and Provenance</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1694"/>
        <w:gridCol w:w="1694"/>
        <w:gridCol w:w="1694"/>
        <w:gridCol w:w="1694"/>
        <w:gridCol w:w="1694"/>
        <w:gridCol w:w="1694"/>
      </w:tblGrid>
      <w:tr>
        <w:trPr>
          <w:tblHeader w:val="true"/>
          <w:cantSplit/>
        </w:trPr>
        <w:tc>
          <w:tcPr>
            <w:tcW w:type="dxa" w:w="1037"/>
            <w:shd w:fill="17324D"/>
            <w:tcMar>
              <w:top w:w="80" w:type="dxa"/>
              <w:start w:w="70" w:type="dxa"/>
              <w:bottom w:w="80" w:type="dxa"/>
              <w:end w:w="70" w:type="dxa"/>
            </w:tcMar>
            <w:vAlign w:val="center"/>
          </w:tcPr>
          <w:p>
            <w:pPr>
              <w:spacing w:after="0"/>
            </w:pPr>
            <w:r>
              <w:rPr>
                <w:rFonts w:ascii="Arial" w:hAnsi="Arial" w:eastAsia="Arial"/>
                <w:b/>
                <w:color w:val="FFFFFF"/>
                <w:sz w:val="14"/>
              </w:rPr>
              <w:t>File</w:t>
            </w:r>
          </w:p>
        </w:tc>
        <w:tc>
          <w:tcPr>
            <w:tcW w:type="dxa" w:w="1944"/>
            <w:shd w:fill="17324D"/>
            <w:tcMar>
              <w:top w:w="80" w:type="dxa"/>
              <w:start w:w="70" w:type="dxa"/>
              <w:bottom w:w="80" w:type="dxa"/>
              <w:end w:w="70" w:type="dxa"/>
            </w:tcMar>
            <w:vAlign w:val="center"/>
          </w:tcPr>
          <w:p>
            <w:pPr>
              <w:spacing w:after="0"/>
            </w:pPr>
            <w:r>
              <w:rPr>
                <w:rFonts w:ascii="Arial" w:hAnsi="Arial" w:eastAsia="Arial"/>
                <w:b/>
                <w:color w:val="FFFFFF"/>
                <w:sz w:val="14"/>
              </w:rPr>
              <w:t>Grain</w:t>
            </w:r>
          </w:p>
        </w:tc>
        <w:tc>
          <w:tcPr>
            <w:tcW w:type="dxa" w:w="1296"/>
            <w:shd w:fill="17324D"/>
            <w:tcMar>
              <w:top w:w="80" w:type="dxa"/>
              <w:start w:w="70" w:type="dxa"/>
              <w:bottom w:w="80" w:type="dxa"/>
              <w:end w:w="70" w:type="dxa"/>
            </w:tcMar>
            <w:vAlign w:val="center"/>
          </w:tcPr>
          <w:p>
            <w:pPr>
              <w:spacing w:after="0"/>
            </w:pPr>
            <w:r>
              <w:rPr>
                <w:rFonts w:ascii="Arial" w:hAnsi="Arial" w:eastAsia="Arial"/>
                <w:b/>
                <w:color w:val="FFFFFF"/>
                <w:sz w:val="14"/>
              </w:rPr>
              <w:t>Rows x columns</w:t>
            </w:r>
          </w:p>
        </w:tc>
        <w:tc>
          <w:tcPr>
            <w:tcW w:type="dxa" w:w="1944"/>
            <w:shd w:fill="17324D"/>
            <w:tcMar>
              <w:top w:w="80" w:type="dxa"/>
              <w:start w:w="70" w:type="dxa"/>
              <w:bottom w:w="80" w:type="dxa"/>
              <w:end w:w="70" w:type="dxa"/>
            </w:tcMar>
            <w:vAlign w:val="center"/>
          </w:tcPr>
          <w:p>
            <w:pPr>
              <w:spacing w:after="0"/>
            </w:pPr>
            <w:r>
              <w:rPr>
                <w:rFonts w:ascii="Arial" w:hAnsi="Arial" w:eastAsia="Arial"/>
                <w:b/>
                <w:color w:val="FFFFFF"/>
                <w:sz w:val="14"/>
              </w:rPr>
              <w:t>Coverage</w:t>
            </w:r>
          </w:p>
        </w:tc>
        <w:tc>
          <w:tcPr>
            <w:tcW w:type="dxa" w:w="1037"/>
            <w:shd w:fill="17324D"/>
            <w:tcMar>
              <w:top w:w="80" w:type="dxa"/>
              <w:start w:w="70" w:type="dxa"/>
              <w:bottom w:w="80" w:type="dxa"/>
              <w:end w:w="70" w:type="dxa"/>
            </w:tcMar>
            <w:vAlign w:val="center"/>
          </w:tcPr>
          <w:p>
            <w:pPr>
              <w:spacing w:after="0"/>
            </w:pPr>
            <w:r>
              <w:rPr>
                <w:rFonts w:ascii="Arial" w:hAnsi="Arial" w:eastAsia="Arial"/>
                <w:b/>
                <w:color w:val="FFFFFF"/>
                <w:sz w:val="14"/>
              </w:rPr>
              <w:t>Size</w:t>
            </w:r>
          </w:p>
        </w:tc>
        <w:tc>
          <w:tcPr>
            <w:tcW w:type="dxa" w:w="2592"/>
            <w:shd w:fill="17324D"/>
            <w:tcMar>
              <w:top w:w="80" w:type="dxa"/>
              <w:start w:w="70" w:type="dxa"/>
              <w:bottom w:w="80" w:type="dxa"/>
              <w:end w:w="70" w:type="dxa"/>
            </w:tcMar>
            <w:vAlign w:val="center"/>
          </w:tcPr>
          <w:p>
            <w:pPr>
              <w:spacing w:after="0"/>
            </w:pPr>
            <w:r>
              <w:rPr>
                <w:rFonts w:ascii="Arial" w:hAnsi="Arial" w:eastAsia="Arial"/>
                <w:b/>
                <w:color w:val="FFFFFF"/>
                <w:sz w:val="14"/>
              </w:rPr>
              <w:t>Verified MD5</w:t>
            </w:r>
          </w:p>
        </w:tc>
      </w:tr>
      <w:tr>
        <w:trPr>
          <w:cantSplit/>
          <w:trHeight w:hRule="atLeast"/>
        </w:trPr>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idp.csv</w:t>
            </w:r>
          </w:p>
        </w:tc>
        <w:tc>
          <w:tcPr>
            <w:tcW w:type="dxa" w:w="1944"/>
            <w:vAlign w:val="top"/>
            <w:tcMar>
              <w:top w:w="65" w:type="dxa"/>
              <w:start w:w="65" w:type="dxa"/>
              <w:bottom w:w="65" w:type="dxa"/>
              <w:end w:w="65" w:type="dxa"/>
            </w:tcMar>
          </w:tcPr>
          <w:p>
            <w:pPr>
              <w:spacing w:after="0" w:line="240" w:lineRule="auto"/>
            </w:pPr>
            <w:r>
              <w:rPr>
                <w:rFonts w:ascii="Arial" w:hAnsi="Arial" w:eastAsia="Arial"/>
                <w:color w:val="202B36"/>
                <w:sz w:val="14"/>
              </w:rPr>
              <w:t>One row per patient</w:t>
            </w:r>
          </w:p>
        </w:tc>
        <w:tc>
          <w:tcPr>
            <w:tcW w:type="dxa" w:w="1296"/>
            <w:vAlign w:val="top"/>
            <w:tcMar>
              <w:top w:w="65" w:type="dxa"/>
              <w:start w:w="65" w:type="dxa"/>
              <w:bottom w:w="65" w:type="dxa"/>
              <w:end w:w="65" w:type="dxa"/>
            </w:tcMar>
          </w:tcPr>
          <w:p>
            <w:pPr>
              <w:spacing w:after="0" w:line="240" w:lineRule="auto"/>
            </w:pPr>
            <w:r>
              <w:rPr>
                <w:rFonts w:ascii="Arial" w:hAnsi="Arial" w:eastAsia="Arial"/>
                <w:color w:val="202B36"/>
                <w:sz w:val="14"/>
              </w:rPr>
              <w:t>1,072 x 5</w:t>
            </w:r>
          </w:p>
        </w:tc>
        <w:tc>
          <w:tcPr>
            <w:tcW w:type="dxa" w:w="1944"/>
            <w:vAlign w:val="top"/>
            <w:tcMar>
              <w:top w:w="65" w:type="dxa"/>
              <w:start w:w="65" w:type="dxa"/>
              <w:bottom w:w="65" w:type="dxa"/>
              <w:end w:w="65" w:type="dxa"/>
            </w:tcMar>
          </w:tcPr>
          <w:p>
            <w:pPr>
              <w:spacing w:after="0" w:line="240" w:lineRule="auto"/>
            </w:pPr>
            <w:r>
              <w:rPr>
                <w:rFonts w:ascii="Arial" w:hAnsi="Arial" w:eastAsia="Arial"/>
                <w:color w:val="202B36"/>
                <w:sz w:val="14"/>
              </w:rPr>
              <w:t>First dialysis 1990-01 to 2016-02</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0.03 MB</w:t>
            </w:r>
          </w:p>
        </w:tc>
        <w:tc>
          <w:tcPr>
            <w:tcW w:type="dxa" w:w="2592"/>
            <w:vAlign w:val="top"/>
            <w:tcMar>
              <w:top w:w="65" w:type="dxa"/>
              <w:start w:w="65" w:type="dxa"/>
              <w:bottom w:w="65" w:type="dxa"/>
              <w:end w:w="65" w:type="dxa"/>
            </w:tcMar>
          </w:tcPr>
          <w:p>
            <w:pPr>
              <w:spacing w:after="0" w:line="240" w:lineRule="auto"/>
            </w:pPr>
            <w:r>
              <w:rPr>
                <w:rFonts w:ascii="Arial" w:hAnsi="Arial" w:eastAsia="Arial"/>
                <w:color w:val="202B36"/>
                <w:sz w:val="14"/>
              </w:rPr>
              <w:t>31d269f59bf4acc719f392ad9164d08a</w:t>
            </w:r>
          </w:p>
        </w:tc>
      </w:tr>
      <w:tr>
        <w:trPr>
          <w:cantSplit/>
          <w:trHeight w:hRule="atLeast"/>
        </w:trPr>
        <w:tc>
          <w:tcPr>
            <w:tcW w:type="dxa" w:w="1037"/>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d1.csv</w:t>
            </w:r>
          </w:p>
        </w:tc>
        <w:tc>
          <w:tcPr>
            <w:tcW w:type="dxa" w:w="1944"/>
            <w:vAlign w:val="top"/>
            <w:tcMar>
              <w:top w:w="65" w:type="dxa"/>
              <w:start w:w="65" w:type="dxa"/>
              <w:bottom w:w="65" w:type="dxa"/>
              <w:end w:w="65" w:type="dxa"/>
            </w:tcMar>
            <w:shd w:fill="F7FAFC"/>
          </w:tcPr>
          <w:p>
            <w:pPr>
              <w:spacing w:after="0" w:line="240" w:lineRule="auto"/>
            </w:pPr>
            <w:r>
              <w:rPr>
                <w:rFonts w:ascii="Arial" w:hAnsi="Arial" w:eastAsia="Arial"/>
                <w:color w:val="202B36"/>
                <w:sz w:val="14"/>
              </w:rPr>
              <w:t>One row per recorded dialysis session</w:t>
            </w:r>
          </w:p>
        </w:tc>
        <w:tc>
          <w:tcPr>
            <w:tcW w:type="dxa" w:w="129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165,986 x 8</w:t>
            </w:r>
          </w:p>
        </w:tc>
        <w:tc>
          <w:tcPr>
            <w:tcW w:type="dxa" w:w="1944"/>
            <w:vAlign w:val="top"/>
            <w:tcMar>
              <w:top w:w="65" w:type="dxa"/>
              <w:start w:w="65" w:type="dxa"/>
              <w:bottom w:w="65" w:type="dxa"/>
              <w:end w:w="65" w:type="dxa"/>
            </w:tcMar>
            <w:shd w:fill="F7FAFC"/>
          </w:tcPr>
          <w:p>
            <w:pPr>
              <w:spacing w:after="0" w:line="240" w:lineRule="auto"/>
            </w:pPr>
            <w:r>
              <w:rPr>
                <w:rFonts w:ascii="Arial" w:hAnsi="Arial" w:eastAsia="Arial"/>
                <w:color w:val="202B36"/>
                <w:sz w:val="14"/>
              </w:rPr>
              <w:t>2013-06-01 to 2018-05-31</w:t>
            </w:r>
          </w:p>
        </w:tc>
        <w:tc>
          <w:tcPr>
            <w:tcW w:type="dxa" w:w="1037"/>
            <w:vAlign w:val="top"/>
            <w:tcMar>
              <w:top w:w="65" w:type="dxa"/>
              <w:start w:w="65" w:type="dxa"/>
              <w:bottom w:w="65" w:type="dxa"/>
              <w:end w:w="65" w:type="dxa"/>
            </w:tcMar>
            <w:shd w:fill="F7FAFC"/>
          </w:tcPr>
          <w:p>
            <w:pPr>
              <w:spacing w:after="0" w:line="240" w:lineRule="auto"/>
            </w:pPr>
            <w:r>
              <w:rPr>
                <w:rFonts w:ascii="Arial" w:hAnsi="Arial" w:eastAsia="Arial"/>
                <w:color w:val="202B36"/>
                <w:sz w:val="14"/>
              </w:rPr>
              <w:t>10.62 MB</w:t>
            </w:r>
          </w:p>
        </w:tc>
        <w:tc>
          <w:tcPr>
            <w:tcW w:type="dxa" w:w="259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7db3b48bae2c73e3ecd731dbcd452233</w:t>
            </w:r>
          </w:p>
        </w:tc>
      </w:tr>
      <w:tr>
        <w:trPr>
          <w:cantSplit/>
          <w:trHeight w:hRule="atLeast"/>
        </w:trPr>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vip.csv</w:t>
            </w:r>
          </w:p>
        </w:tc>
        <w:tc>
          <w:tcPr>
            <w:tcW w:type="dxa" w:w="1944"/>
            <w:vAlign w:val="top"/>
            <w:tcMar>
              <w:top w:w="65" w:type="dxa"/>
              <w:start w:w="65" w:type="dxa"/>
              <w:bottom w:w="65" w:type="dxa"/>
              <w:end w:w="65" w:type="dxa"/>
            </w:tcMar>
          </w:tcPr>
          <w:p>
            <w:pPr>
              <w:spacing w:after="0" w:line="240" w:lineRule="auto"/>
            </w:pPr>
            <w:r>
              <w:rPr>
                <w:rFonts w:ascii="Arial" w:hAnsi="Arial" w:eastAsia="Arial"/>
                <w:color w:val="202B36"/>
                <w:sz w:val="14"/>
              </w:rPr>
              <w:t>One row per time-stamped dialysis monitor state</w:t>
            </w:r>
          </w:p>
        </w:tc>
        <w:tc>
          <w:tcPr>
            <w:tcW w:type="dxa" w:w="1296"/>
            <w:vAlign w:val="top"/>
            <w:tcMar>
              <w:top w:w="65" w:type="dxa"/>
              <w:start w:w="65" w:type="dxa"/>
              <w:bottom w:w="65" w:type="dxa"/>
              <w:end w:w="65" w:type="dxa"/>
            </w:tcMar>
          </w:tcPr>
          <w:p>
            <w:pPr>
              <w:spacing w:after="0" w:line="240" w:lineRule="auto"/>
            </w:pPr>
            <w:r>
              <w:rPr>
                <w:rFonts w:ascii="Arial" w:hAnsi="Arial" w:eastAsia="Arial"/>
                <w:color w:val="202B36"/>
                <w:sz w:val="14"/>
              </w:rPr>
              <w:t>4,366,298 x 10</w:t>
            </w:r>
          </w:p>
        </w:tc>
        <w:tc>
          <w:tcPr>
            <w:tcW w:type="dxa" w:w="1944"/>
            <w:vAlign w:val="top"/>
            <w:tcMar>
              <w:top w:w="65" w:type="dxa"/>
              <w:start w:w="65" w:type="dxa"/>
              <w:bottom w:w="65" w:type="dxa"/>
              <w:end w:w="65" w:type="dxa"/>
            </w:tcMar>
          </w:tcPr>
          <w:p>
            <w:pPr>
              <w:spacing w:after="0" w:line="240" w:lineRule="auto"/>
            </w:pPr>
            <w:r>
              <w:rPr>
                <w:rFonts w:ascii="Arial" w:hAnsi="Arial" w:eastAsia="Arial"/>
                <w:color w:val="202B36"/>
                <w:sz w:val="14"/>
              </w:rPr>
              <w:t>2013-06-01 14:56:40 to 2018-07-01 06:22:57</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250.67 MB</w:t>
            </w:r>
          </w:p>
        </w:tc>
        <w:tc>
          <w:tcPr>
            <w:tcW w:type="dxa" w:w="2592"/>
            <w:vAlign w:val="top"/>
            <w:tcMar>
              <w:top w:w="65" w:type="dxa"/>
              <w:start w:w="65" w:type="dxa"/>
              <w:bottom w:w="65" w:type="dxa"/>
              <w:end w:w="65" w:type="dxa"/>
            </w:tcMar>
          </w:tcPr>
          <w:p>
            <w:pPr>
              <w:spacing w:after="0" w:line="240" w:lineRule="auto"/>
            </w:pPr>
            <w:r>
              <w:rPr>
                <w:rFonts w:ascii="Arial" w:hAnsi="Arial" w:eastAsia="Arial"/>
                <w:color w:val="202B36"/>
                <w:sz w:val="14"/>
              </w:rPr>
              <w:t>ff1589610cf7aa3b3e01ba979b6bdc44</w:t>
            </w:r>
          </w:p>
        </w:tc>
      </w:tr>
    </w:tbl>
    <w:p>
      <w:pPr>
        <w:spacing w:after="0"/>
      </w:pPr>
    </w:p>
    <w:p>
      <w:pPr>
        <w:spacing w:after="100"/>
      </w:pPr>
      <w:r>
        <w:rPr>
          <w:rFonts w:ascii="Arial" w:hAnsi="Arial" w:eastAsia="Arial"/>
          <w:b/>
          <w:color w:val="202B36"/>
        </w:rPr>
        <w:t>Integrity result.</w:t>
      </w:r>
      <w:r>
        <w:rPr>
          <w:rFonts w:ascii="Arial" w:hAnsi="Arial" w:eastAsia="Arial"/>
          <w:i w:val="0"/>
          <w:color w:val="202B36"/>
        </w:rPr>
        <w:t xml:space="preserve"> Each local MD5 checksum exactly matches the checksum published in the Figshare Version 3 metadata. This verifies that the audited files are byte-for-byte copies of the cited public release.</w:t>
      </w:r>
    </w:p>
    <w:p>
      <w:pPr>
        <w:spacing w:after="100"/>
      </w:pPr>
      <w:r>
        <w:rPr>
          <w:rFonts w:ascii="Arial" w:hAnsi="Arial" w:eastAsia="Arial"/>
          <w:b/>
          <w:color w:val="202B36"/>
        </w:rPr>
        <w:t>Source-count discrepancy.</w:t>
      </w:r>
      <w:r>
        <w:rPr>
          <w:rFonts w:ascii="Arial" w:hAnsi="Arial" w:eastAsia="Arial"/>
          <w:i w:val="0"/>
          <w:color w:val="202B36"/>
        </w:rPr>
        <w:t xml:space="preserve"> The Scientific Data article reports 1,075 outpatients, whereas the released Idp file contains 1,072 rows and 1,072 unique patient identifiers, a difference of three. No undocumented records were reconstructed. All analyses use the public file contents, and the discrepancy remains an explicit provenance limitation. [1,2]</w:t>
      </w:r>
    </w:p>
    <w:p>
      <w:pPr>
        <w:pStyle w:val="Heading2"/>
      </w:pPr>
      <w:r>
        <w:t>Collection Context and Governance</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5083"/>
        <w:gridCol w:w="5083"/>
      </w:tblGrid>
      <w:tr>
        <w:trPr>
          <w:tblHeader w:val="true"/>
          <w:cantSplit/>
        </w:trPr>
        <w:tc>
          <w:tcPr>
            <w:tcW w:type="dxa" w:w="2232"/>
            <w:shd w:fill="17324D"/>
            <w:tcMar>
              <w:top w:w="80" w:type="dxa"/>
              <w:start w:w="70" w:type="dxa"/>
              <w:bottom w:w="80" w:type="dxa"/>
              <w:end w:w="70" w:type="dxa"/>
            </w:tcMar>
            <w:vAlign w:val="center"/>
          </w:tcPr>
          <w:p>
            <w:pPr>
              <w:spacing w:after="0"/>
            </w:pPr>
            <w:r>
              <w:rPr>
                <w:rFonts w:ascii="Arial" w:hAnsi="Arial" w:eastAsia="Arial"/>
                <w:b/>
                <w:color w:val="FFFFFF"/>
                <w:sz w:val="16"/>
              </w:rPr>
              <w:t>Element</w:t>
            </w:r>
          </w:p>
        </w:tc>
        <w:tc>
          <w:tcPr>
            <w:tcW w:type="dxa" w:w="7416"/>
            <w:shd w:fill="17324D"/>
            <w:tcMar>
              <w:top w:w="80" w:type="dxa"/>
              <w:start w:w="70" w:type="dxa"/>
              <w:bottom w:w="80" w:type="dxa"/>
              <w:end w:w="70" w:type="dxa"/>
            </w:tcMar>
            <w:vAlign w:val="center"/>
          </w:tcPr>
          <w:p>
            <w:pPr>
              <w:spacing w:after="0"/>
            </w:pPr>
            <w:r>
              <w:rPr>
                <w:rFonts w:ascii="Arial" w:hAnsi="Arial" w:eastAsia="Arial"/>
                <w:b/>
                <w:color w:val="FFFFFF"/>
                <w:sz w:val="16"/>
              </w:rPr>
              <w:t>Documented context</w:t>
            </w:r>
          </w:p>
        </w:tc>
      </w:tr>
      <w:tr>
        <w:trPr>
          <w:cantSplit/>
          <w:trHeight w:hRule="atLeast"/>
        </w:trPr>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6"/>
              </w:rPr>
              <w:t>Care setting</w:t>
            </w:r>
          </w:p>
        </w:tc>
        <w:tc>
          <w:tcPr>
            <w:tcW w:type="dxa" w:w="7416"/>
            <w:vAlign w:val="top"/>
            <w:tcMar>
              <w:top w:w="65" w:type="dxa"/>
              <w:start w:w="65" w:type="dxa"/>
              <w:bottom w:w="65" w:type="dxa"/>
              <w:end w:w="65" w:type="dxa"/>
            </w:tcMar>
          </w:tcPr>
          <w:p>
            <w:pPr>
              <w:spacing w:after="0" w:line="240" w:lineRule="auto"/>
            </w:pPr>
            <w:r>
              <w:rPr>
                <w:rFonts w:ascii="Arial" w:hAnsi="Arial" w:eastAsia="Arial"/>
                <w:color w:val="202B36"/>
                <w:sz w:val="16"/>
              </w:rPr>
              <w:t>Retrospective outpatient chronic hemodialysis care at a tertiary center in Taiwan</w:t>
            </w:r>
          </w:p>
        </w:tc>
      </w:tr>
      <w:tr>
        <w:trPr>
          <w:cantSplit/>
          <w:trHeight w:hRule="atLeast"/>
        </w:trPr>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6"/>
              </w:rPr>
              <w:t>Observation window</w:t>
            </w:r>
          </w:p>
        </w:tc>
        <w:tc>
          <w:tcPr>
            <w:tcW w:type="dxa" w:w="7416"/>
            <w:vAlign w:val="top"/>
            <w:tcMar>
              <w:top w:w="65" w:type="dxa"/>
              <w:start w:w="65" w:type="dxa"/>
              <w:bottom w:w="65" w:type="dxa"/>
              <w:end w:w="65" w:type="dxa"/>
            </w:tcMar>
            <w:shd w:fill="F7FAFC"/>
          </w:tcPr>
          <w:p>
            <w:pPr>
              <w:spacing w:after="0" w:line="240" w:lineRule="auto"/>
            </w:pPr>
            <w:r>
              <w:rPr>
                <w:rFonts w:ascii="Arial" w:hAnsi="Arial" w:eastAsia="Arial"/>
                <w:color w:val="202B36"/>
                <w:sz w:val="16"/>
              </w:rPr>
              <w:t>June 2013 to July 2018 across the released tables</w:t>
            </w:r>
          </w:p>
        </w:tc>
      </w:tr>
      <w:tr>
        <w:trPr>
          <w:cantSplit/>
          <w:trHeight w:hRule="atLeast"/>
        </w:trPr>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6"/>
              </w:rPr>
              <w:t>Ethics record</w:t>
            </w:r>
          </w:p>
        </w:tc>
        <w:tc>
          <w:tcPr>
            <w:tcW w:type="dxa" w:w="7416"/>
            <w:vAlign w:val="top"/>
            <w:tcMar>
              <w:top w:w="65" w:type="dxa"/>
              <w:start w:w="65" w:type="dxa"/>
              <w:bottom w:w="65" w:type="dxa"/>
              <w:end w:w="65" w:type="dxa"/>
            </w:tcMar>
          </w:tcPr>
          <w:p>
            <w:pPr>
              <w:spacing w:after="0" w:line="240" w:lineRule="auto"/>
            </w:pPr>
            <w:r>
              <w:rPr>
                <w:rFonts w:ascii="Arial" w:hAnsi="Arial" w:eastAsia="Arial"/>
                <w:color w:val="202B36"/>
                <w:sz w:val="16"/>
              </w:rPr>
              <w:t>Institutional review board identifier 16MMHIS044, as reported in the data descriptor</w:t>
            </w:r>
          </w:p>
        </w:tc>
      </w:tr>
      <w:tr>
        <w:trPr>
          <w:cantSplit/>
          <w:trHeight w:hRule="atLeast"/>
        </w:trPr>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6"/>
              </w:rPr>
              <w:t>Privacy</w:t>
            </w:r>
          </w:p>
        </w:tc>
        <w:tc>
          <w:tcPr>
            <w:tcW w:type="dxa" w:w="7416"/>
            <w:vAlign w:val="top"/>
            <w:tcMar>
              <w:top w:w="65" w:type="dxa"/>
              <w:start w:w="65" w:type="dxa"/>
              <w:bottom w:w="65" w:type="dxa"/>
              <w:end w:w="65" w:type="dxa"/>
            </w:tcMar>
            <w:shd w:fill="F7FAFC"/>
          </w:tcPr>
          <w:p>
            <w:pPr>
              <w:spacing w:after="0" w:line="240" w:lineRule="auto"/>
            </w:pPr>
            <w:r>
              <w:rPr>
                <w:rFonts w:ascii="Arial" w:hAnsi="Arial" w:eastAsia="Arial"/>
                <w:color w:val="202B36"/>
                <w:sz w:val="16"/>
              </w:rPr>
              <w:t>De-identified patient identifiers; dates and times retained for longitudinal linkage</w:t>
            </w:r>
          </w:p>
        </w:tc>
      </w:tr>
      <w:tr>
        <w:trPr>
          <w:cantSplit/>
          <w:trHeight w:hRule="atLeast"/>
        </w:trPr>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6"/>
              </w:rPr>
              <w:t>Reuse conditions</w:t>
            </w:r>
          </w:p>
        </w:tc>
        <w:tc>
          <w:tcPr>
            <w:tcW w:type="dxa" w:w="7416"/>
            <w:vAlign w:val="top"/>
            <w:tcMar>
              <w:top w:w="65" w:type="dxa"/>
              <w:start w:w="65" w:type="dxa"/>
              <w:bottom w:w="65" w:type="dxa"/>
              <w:end w:w="65" w:type="dxa"/>
            </w:tcMar>
          </w:tcPr>
          <w:p>
            <w:pPr>
              <w:spacing w:after="0" w:line="240" w:lineRule="auto"/>
            </w:pPr>
            <w:r>
              <w:rPr>
                <w:rFonts w:ascii="Arial" w:hAnsi="Arial" w:eastAsia="Arial"/>
                <w:color w:val="202B36"/>
                <w:sz w:val="16"/>
              </w:rPr>
              <w:t>Figshare Version 3 distributed under Creative Commons Attribution 4.0</w:t>
            </w:r>
          </w:p>
        </w:tc>
      </w:tr>
    </w:tbl>
    <w:p>
      <w:pPr>
        <w:spacing w:after="0"/>
      </w:pP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166"/>
      </w:tblGrid>
      <w:tr>
        <w:trPr>
          <w:cantSplit/>
        </w:trPr>
        <w:tc>
          <w:tcPr>
            <w:tcW w:type="dxa" w:w="10166"/>
            <w:tcMar>
              <w:top w:w="0" w:type="dxa"/>
              <w:start w:w="0" w:type="dxa"/>
              <w:bottom w:w="0" w:type="dxa"/>
              <w:end w:w="0" w:type="dxa"/>
            </w:tcMar>
          </w:tcPr>
          <w:p>
            <w:pPr>
              <w:spacing w:after="20"/>
              <w:jc w:val="center"/>
            </w:pPr>
            <w:r>
              <w:drawing>
                <wp:inline xmlns:a="http://schemas.openxmlformats.org/drawingml/2006/main" xmlns:pic="http://schemas.openxmlformats.org/drawingml/2006/picture">
                  <wp:extent cx="6144768" cy="2038141"/>
                  <wp:docPr id="1" name="Picture 1"/>
                  <wp:cNvGraphicFramePr>
                    <a:graphicFrameLocks noChangeAspect="1"/>
                  </wp:cNvGraphicFramePr>
                  <a:graphic>
                    <a:graphicData uri="http://schemas.openxmlformats.org/drawingml/2006/picture">
                      <pic:pic>
                        <pic:nvPicPr>
                          <pic:cNvPr id="0" name="data_architecture.png"/>
                          <pic:cNvPicPr/>
                        </pic:nvPicPr>
                        <pic:blipFill>
                          <a:blip r:embed="rId9"/>
                          <a:stretch>
                            <a:fillRect/>
                          </a:stretch>
                        </pic:blipFill>
                        <pic:spPr>
                          <a:xfrm>
                            <a:off x="0" y="0"/>
                            <a:ext cx="6144768" cy="2038141"/>
                          </a:xfrm>
                          <a:prstGeom prst="rect"/>
                        </pic:spPr>
                      </pic:pic>
                    </a:graphicData>
                  </a:graphic>
                </wp:inline>
              </w:drawing>
            </w:r>
          </w:p>
          <w:p>
            <w:pPr>
              <w:pStyle w:val="Caption"/>
              <w:jc w:val="center"/>
            </w:pPr>
            <w:r>
              <w:rPr>
                <w:rFonts w:ascii="Arial" w:hAnsi="Arial" w:eastAsia="Arial"/>
                <w:i/>
                <w:color w:val="596875"/>
                <w:sz w:val="16"/>
              </w:rPr>
              <w:t>Figure 1. Three source tables are linked by de-identified patient ID and calendar date, then collapsed to one prediction row per eligible dialysis session.</w:t>
            </w:r>
          </w:p>
        </w:tc>
      </w:tr>
    </w:tbl>
    <w:p>
      <w:pPr>
        <w:spacing w:after="0"/>
      </w:pPr>
    </w:p>
    <w:p>
      <w:pPr>
        <w:pStyle w:val="Heading1"/>
      </w:pPr>
      <w:r>
        <w:t>Data Architecture and Linkage</w:t>
      </w:r>
    </w:p>
    <w:p>
      <w:pPr>
        <w:spacing w:after="100"/>
      </w:pPr>
      <w:r>
        <w:rPr>
          <w:rFonts w:ascii="Arial" w:hAnsi="Arial" w:eastAsia="Arial"/>
          <w:i w:val="0"/>
          <w:color w:val="202B36"/>
        </w:rPr>
        <w:t>The source has three different grains. Idp contains one row per patient. Hemrec D1 contains one row per recorded dialysis session. Hemrec VIP contains repeated, time-stamped monitor states within a session. The analytic unit is one eligible patient-session, not one monitor reading and not one patient.</w:t>
      </w:r>
    </w:p>
    <w:p>
      <w:pPr>
        <w:pStyle w:val="ListNumber"/>
        <w:spacing w:after="60"/>
        <w:ind w:left="346" w:hanging="202"/>
      </w:pPr>
      <w:r>
        <w:rPr>
          <w:rFonts w:ascii="Arial" w:hAnsi="Arial" w:eastAsia="Arial"/>
          <w:color w:val="202B36"/>
          <w:sz w:val="18"/>
        </w:rPr>
        <w:t>Normalize D1 and VIP dates and link records on de-identified patient ID plus calendar date.</w:t>
      </w:r>
    </w:p>
    <w:p>
      <w:pPr>
        <w:pStyle w:val="ListNumber"/>
        <w:spacing w:after="60"/>
        <w:ind w:left="346" w:hanging="202"/>
      </w:pPr>
      <w:r>
        <w:rPr>
          <w:rFonts w:ascii="Arial" w:hAnsi="Arial" w:eastAsia="Arial"/>
          <w:color w:val="202B36"/>
          <w:sz w:val="18"/>
        </w:rPr>
        <w:t>Use the earliest valid active-dialysis VIP record within the first 30 elapsed minutes as the index record. Active treatment requires blood flow greater than zero.</w:t>
      </w:r>
    </w:p>
    <w:p>
      <w:pPr>
        <w:pStyle w:val="ListNumber"/>
        <w:spacing w:after="60"/>
        <w:ind w:left="346" w:hanging="202"/>
      </w:pPr>
      <w:r>
        <w:rPr>
          <w:rFonts w:ascii="Arial" w:hAnsi="Arial" w:eastAsia="Arial"/>
          <w:color w:val="202B36"/>
          <w:sz w:val="18"/>
        </w:rPr>
        <w:t>Require index SBP from 90 to 200 mmHg, index DBP from 30 to 150 mmHg, at least two later distinct elapsed-minute values, and an observation at or beyond dialysis minute 120.</w:t>
      </w:r>
    </w:p>
    <w:p>
      <w:pPr>
        <w:pStyle w:val="ListNumber"/>
        <w:spacing w:after="60"/>
        <w:ind w:left="346" w:hanging="202"/>
      </w:pPr>
      <w:r>
        <w:rPr>
          <w:rFonts w:ascii="Arial" w:hAnsi="Arial" w:eastAsia="Arial"/>
          <w:color w:val="202B36"/>
          <w:sz w:val="18"/>
        </w:rPr>
        <w:t>Derive the primary outcome only from records after the index observation. Retain outcome and post-treatment fields for audit, but exclude them from predictors.</w:t>
      </w:r>
    </w:p>
    <w:p>
      <w:pPr>
        <w:pStyle w:val="ListNumber"/>
        <w:spacing w:after="60"/>
        <w:ind w:left="346" w:hanging="202"/>
      </w:pPr>
      <w:r>
        <w:rPr>
          <w:rFonts w:ascii="Arial" w:hAnsi="Arial" w:eastAsia="Arial"/>
          <w:color w:val="202B36"/>
          <w:sz w:val="18"/>
        </w:rPr>
        <w:t>Derive prior-session features with chronological shifts and cumulative calculations so the current or future session cannot enter its own history.</w:t>
      </w:r>
    </w:p>
    <w:p>
      <w:pPr>
        <w:spacing w:after="100"/>
      </w:pPr>
      <w:r>
        <w:rPr>
          <w:rFonts w:ascii="Arial" w:hAnsi="Arial" w:eastAsia="Arial"/>
          <w:b/>
          <w:color w:val="202B36"/>
        </w:rPr>
        <w:t>Linkage assumption.</w:t>
      </w:r>
      <w:r>
        <w:rPr>
          <w:rFonts w:ascii="Arial" w:hAnsi="Arial" w:eastAsia="Arial"/>
          <w:i w:val="0"/>
          <w:color w:val="202B36"/>
        </w:rPr>
        <w:t xml:space="preserve"> Calendar date is the shared session key available in the public tables. Duplicate patient-date D1 rows are resolved deterministically after stable ordering. If a patient had two distinct treatments on one calendar date, this key could conflate them; that risk cannot be fully tested because no public session ID is provided.</w:t>
      </w:r>
    </w:p>
    <w:p>
      <w:pPr>
        <w:spacing w:after="100"/>
      </w:pPr>
      <w:r>
        <w:rPr>
          <w:rFonts w:ascii="Arial" w:hAnsi="Arial" w:eastAsia="Arial"/>
          <w:b/>
          <w:color w:val="202B36"/>
        </w:rPr>
        <w:t>Sampling pattern.</w:t>
      </w:r>
      <w:r>
        <w:rPr>
          <w:rFonts w:ascii="Arial" w:hAnsi="Arial" w:eastAsia="Arial"/>
          <w:i w:val="0"/>
          <w:color w:val="202B36"/>
        </w:rPr>
        <w:t xml:space="preserve"> VIP observations are not perfectly regular. The paper notes routine blood-pressure collection at approximately 30-minute intervals with additional measurements according to clinical need. Measurement density may therefore contain information about clinician concern and should not be treated as random. [1]</w:t>
      </w:r>
    </w:p>
    <w:p>
      <w:pPr>
        <w:pStyle w:val="Heading2"/>
      </w:pPr>
      <w:r>
        <w:t>Feature Type Summary</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3389"/>
        <w:gridCol w:w="3389"/>
        <w:gridCol w:w="3389"/>
      </w:tblGrid>
      <w:tr>
        <w:trPr>
          <w:tblHeader w:val="true"/>
          <w:cantSplit/>
        </w:trPr>
        <w:tc>
          <w:tcPr>
            <w:tcW w:type="dxa" w:w="4608"/>
            <w:shd w:fill="17324D"/>
            <w:tcMar>
              <w:top w:w="80" w:type="dxa"/>
              <w:start w:w="70" w:type="dxa"/>
              <w:bottom w:w="80" w:type="dxa"/>
              <w:end w:w="70" w:type="dxa"/>
            </w:tcMar>
            <w:vAlign w:val="center"/>
          </w:tcPr>
          <w:p>
            <w:pPr>
              <w:spacing w:after="0"/>
            </w:pPr>
            <w:r>
              <w:rPr>
                <w:rFonts w:ascii="Arial" w:hAnsi="Arial" w:eastAsia="Arial"/>
                <w:b/>
                <w:color w:val="FFFFFF"/>
                <w:sz w:val="17"/>
              </w:rPr>
              <w:t>Data type</w:t>
            </w:r>
          </w:p>
        </w:tc>
        <w:tc>
          <w:tcPr>
            <w:tcW w:type="dxa" w:w="2520"/>
            <w:shd w:fill="17324D"/>
            <w:tcMar>
              <w:top w:w="80" w:type="dxa"/>
              <w:start w:w="70" w:type="dxa"/>
              <w:bottom w:w="80" w:type="dxa"/>
              <w:end w:w="70" w:type="dxa"/>
            </w:tcMar>
            <w:vAlign w:val="center"/>
          </w:tcPr>
          <w:p>
            <w:pPr>
              <w:spacing w:after="0"/>
            </w:pPr>
            <w:r>
              <w:rPr>
                <w:rFonts w:ascii="Arial" w:hAnsi="Arial" w:eastAsia="Arial"/>
                <w:b/>
                <w:color w:val="FFFFFF"/>
                <w:sz w:val="17"/>
              </w:rPr>
              <w:t>Raw fields</w:t>
            </w:r>
          </w:p>
        </w:tc>
        <w:tc>
          <w:tcPr>
            <w:tcW w:type="dxa" w:w="2520"/>
            <w:shd w:fill="17324D"/>
            <w:tcMar>
              <w:top w:w="80" w:type="dxa"/>
              <w:start w:w="70" w:type="dxa"/>
              <w:bottom w:w="80" w:type="dxa"/>
              <w:end w:w="70" w:type="dxa"/>
            </w:tcMar>
            <w:vAlign w:val="center"/>
          </w:tcPr>
          <w:p>
            <w:pPr>
              <w:spacing w:after="0"/>
            </w:pPr>
            <w:r>
              <w:rPr>
                <w:rFonts w:ascii="Arial" w:hAnsi="Arial" w:eastAsia="Arial"/>
                <w:b/>
                <w:color w:val="FFFFFF"/>
                <w:sz w:val="17"/>
              </w:rPr>
              <w:t>Analytic fields</w:t>
            </w:r>
          </w:p>
        </w:tc>
      </w:tr>
      <w:tr>
        <w:trPr>
          <w:cantSplit/>
          <w:trHeight w:hRule="atLeast"/>
        </w:trPr>
        <w:tc>
          <w:tcPr>
            <w:tcW w:type="dxa" w:w="4608"/>
            <w:vAlign w:val="top"/>
            <w:tcMar>
              <w:top w:w="65" w:type="dxa"/>
              <w:start w:w="65" w:type="dxa"/>
              <w:bottom w:w="65" w:type="dxa"/>
              <w:end w:w="65" w:type="dxa"/>
            </w:tcMar>
          </w:tcPr>
          <w:p>
            <w:pPr>
              <w:spacing w:after="0" w:line="240" w:lineRule="auto"/>
            </w:pPr>
            <w:r>
              <w:rPr>
                <w:rFonts w:ascii="Arial" w:hAnsi="Arial" w:eastAsia="Arial"/>
                <w:color w:val="202B36"/>
                <w:sz w:val="17"/>
              </w:rPr>
              <w:t>Binary</w:t>
            </w:r>
          </w:p>
        </w:tc>
        <w:tc>
          <w:tcPr>
            <w:tcW w:type="dxa" w:w="2520"/>
            <w:vAlign w:val="top"/>
            <w:tcMar>
              <w:top w:w="65" w:type="dxa"/>
              <w:start w:w="65" w:type="dxa"/>
              <w:bottom w:w="65" w:type="dxa"/>
              <w:end w:w="65" w:type="dxa"/>
            </w:tcMar>
          </w:tcPr>
          <w:p>
            <w:pPr>
              <w:spacing w:after="0" w:line="240" w:lineRule="auto"/>
            </w:pPr>
            <w:r>
              <w:rPr>
                <w:rFonts w:ascii="Arial" w:hAnsi="Arial" w:eastAsia="Arial"/>
                <w:color w:val="202B36"/>
                <w:sz w:val="17"/>
              </w:rPr>
              <w:t>1</w:t>
            </w:r>
          </w:p>
        </w:tc>
        <w:tc>
          <w:tcPr>
            <w:tcW w:type="dxa" w:w="2520"/>
            <w:vAlign w:val="top"/>
            <w:tcMar>
              <w:top w:w="65" w:type="dxa"/>
              <w:start w:w="65" w:type="dxa"/>
              <w:bottom w:w="65" w:type="dxa"/>
              <w:end w:w="65" w:type="dxa"/>
            </w:tcMar>
          </w:tcPr>
          <w:p>
            <w:pPr>
              <w:spacing w:after="0" w:line="240" w:lineRule="auto"/>
            </w:pPr>
            <w:r>
              <w:rPr>
                <w:rFonts w:ascii="Arial" w:hAnsi="Arial" w:eastAsia="Arial"/>
                <w:color w:val="202B36"/>
                <w:sz w:val="17"/>
              </w:rPr>
              <w:t>5</w:t>
            </w:r>
          </w:p>
        </w:tc>
      </w:tr>
      <w:tr>
        <w:trPr>
          <w:cantSplit/>
          <w:trHeight w:hRule="atLeast"/>
        </w:trPr>
        <w:tc>
          <w:tcPr>
            <w:tcW w:type="dxa" w:w="4608"/>
            <w:vAlign w:val="top"/>
            <w:tcMar>
              <w:top w:w="65" w:type="dxa"/>
              <w:start w:w="65" w:type="dxa"/>
              <w:bottom w:w="65" w:type="dxa"/>
              <w:end w:w="65" w:type="dxa"/>
            </w:tcMar>
            <w:shd w:fill="F7FAFC"/>
          </w:tcPr>
          <w:p>
            <w:pPr>
              <w:spacing w:after="0" w:line="240" w:lineRule="auto"/>
            </w:pPr>
            <w:r>
              <w:rPr>
                <w:rFonts w:ascii="Arial" w:hAnsi="Arial" w:eastAsia="Arial"/>
                <w:color w:val="202B36"/>
                <w:sz w:val="17"/>
              </w:rPr>
              <w:t>Categorical</w:t>
            </w:r>
          </w:p>
        </w:tc>
        <w:tc>
          <w:tcPr>
            <w:tcW w:type="dxa" w:w="2520"/>
            <w:vAlign w:val="top"/>
            <w:tcMar>
              <w:top w:w="65" w:type="dxa"/>
              <w:start w:w="65" w:type="dxa"/>
              <w:bottom w:w="65" w:type="dxa"/>
              <w:end w:w="65" w:type="dxa"/>
            </w:tcMar>
            <w:shd w:fill="F7FAFC"/>
          </w:tcPr>
          <w:p>
            <w:pPr>
              <w:spacing w:after="0" w:line="240" w:lineRule="auto"/>
            </w:pPr>
            <w:r>
              <w:rPr>
                <w:rFonts w:ascii="Arial" w:hAnsi="Arial" w:eastAsia="Arial"/>
                <w:color w:val="202B36"/>
                <w:sz w:val="17"/>
              </w:rPr>
              <w:t>1</w:t>
            </w:r>
          </w:p>
        </w:tc>
        <w:tc>
          <w:tcPr>
            <w:tcW w:type="dxa" w:w="2520"/>
            <w:vAlign w:val="top"/>
            <w:tcMar>
              <w:top w:w="65" w:type="dxa"/>
              <w:start w:w="65" w:type="dxa"/>
              <w:bottom w:w="65" w:type="dxa"/>
              <w:end w:w="65" w:type="dxa"/>
            </w:tcMar>
            <w:shd w:fill="F7FAFC"/>
          </w:tcPr>
          <w:p>
            <w:pPr>
              <w:spacing w:after="0" w:line="240" w:lineRule="auto"/>
            </w:pPr>
            <w:r>
              <w:rPr>
                <w:rFonts w:ascii="Arial" w:hAnsi="Arial" w:eastAsia="Arial"/>
                <w:color w:val="202B36"/>
                <w:sz w:val="17"/>
              </w:rPr>
              <w:t>1</w:t>
            </w:r>
          </w:p>
        </w:tc>
      </w:tr>
      <w:tr>
        <w:trPr>
          <w:cantSplit/>
          <w:trHeight w:hRule="atLeast"/>
        </w:trPr>
        <w:tc>
          <w:tcPr>
            <w:tcW w:type="dxa" w:w="4608"/>
            <w:vAlign w:val="top"/>
            <w:tcMar>
              <w:top w:w="65" w:type="dxa"/>
              <w:start w:w="65" w:type="dxa"/>
              <w:bottom w:w="65" w:type="dxa"/>
              <w:end w:w="65" w:type="dxa"/>
            </w:tcMar>
          </w:tcPr>
          <w:p>
            <w:pPr>
              <w:spacing w:after="0" w:line="240" w:lineRule="auto"/>
            </w:pPr>
            <w:r>
              <w:rPr>
                <w:rFonts w:ascii="Arial" w:hAnsi="Arial" w:eastAsia="Arial"/>
                <w:color w:val="202B36"/>
                <w:sz w:val="17"/>
              </w:rPr>
              <w:t>Date</w:t>
            </w:r>
          </w:p>
        </w:tc>
        <w:tc>
          <w:tcPr>
            <w:tcW w:type="dxa" w:w="2520"/>
            <w:vAlign w:val="top"/>
            <w:tcMar>
              <w:top w:w="65" w:type="dxa"/>
              <w:start w:w="65" w:type="dxa"/>
              <w:bottom w:w="65" w:type="dxa"/>
              <w:end w:w="65" w:type="dxa"/>
            </w:tcMar>
          </w:tcPr>
          <w:p>
            <w:pPr>
              <w:spacing w:after="0" w:line="240" w:lineRule="auto"/>
            </w:pPr>
            <w:r>
              <w:rPr>
                <w:rFonts w:ascii="Arial" w:hAnsi="Arial" w:eastAsia="Arial"/>
                <w:color w:val="202B36"/>
                <w:sz w:val="17"/>
              </w:rPr>
              <w:t>1</w:t>
            </w:r>
          </w:p>
        </w:tc>
        <w:tc>
          <w:tcPr>
            <w:tcW w:type="dxa" w:w="2520"/>
            <w:vAlign w:val="top"/>
            <w:tcMar>
              <w:top w:w="65" w:type="dxa"/>
              <w:start w:w="65" w:type="dxa"/>
              <w:bottom w:w="65" w:type="dxa"/>
              <w:end w:w="65" w:type="dxa"/>
            </w:tcMar>
          </w:tcPr>
          <w:p>
            <w:pPr>
              <w:spacing w:after="0" w:line="240" w:lineRule="auto"/>
            </w:pPr>
            <w:r>
              <w:rPr>
                <w:rFonts w:ascii="Arial" w:hAnsi="Arial" w:eastAsia="Arial"/>
                <w:color w:val="202B36"/>
                <w:sz w:val="17"/>
              </w:rPr>
              <w:t>2</w:t>
            </w:r>
          </w:p>
        </w:tc>
      </w:tr>
      <w:tr>
        <w:trPr>
          <w:cantSplit/>
          <w:trHeight w:hRule="atLeast"/>
        </w:trPr>
        <w:tc>
          <w:tcPr>
            <w:tcW w:type="dxa" w:w="4608"/>
            <w:vAlign w:val="top"/>
            <w:tcMar>
              <w:top w:w="65" w:type="dxa"/>
              <w:start w:w="65" w:type="dxa"/>
              <w:bottom w:w="65" w:type="dxa"/>
              <w:end w:w="65" w:type="dxa"/>
            </w:tcMar>
            <w:shd w:fill="F7FAFC"/>
          </w:tcPr>
          <w:p>
            <w:pPr>
              <w:spacing w:after="0" w:line="240" w:lineRule="auto"/>
            </w:pPr>
            <w:r>
              <w:rPr>
                <w:rFonts w:ascii="Arial" w:hAnsi="Arial" w:eastAsia="Arial"/>
                <w:color w:val="202B36"/>
                <w:sz w:val="17"/>
              </w:rPr>
              <w:t>Datetime</w:t>
            </w:r>
          </w:p>
        </w:tc>
        <w:tc>
          <w:tcPr>
            <w:tcW w:type="dxa" w:w="2520"/>
            <w:vAlign w:val="top"/>
            <w:tcMar>
              <w:top w:w="65" w:type="dxa"/>
              <w:start w:w="65" w:type="dxa"/>
              <w:bottom w:w="65" w:type="dxa"/>
              <w:end w:w="65" w:type="dxa"/>
            </w:tcMar>
            <w:shd w:fill="F7FAFC"/>
          </w:tcPr>
          <w:p>
            <w:pPr>
              <w:spacing w:after="0" w:line="240" w:lineRule="auto"/>
            </w:pPr>
            <w:r>
              <w:rPr>
                <w:rFonts w:ascii="Arial" w:hAnsi="Arial" w:eastAsia="Arial"/>
                <w:color w:val="202B36"/>
                <w:sz w:val="17"/>
              </w:rPr>
              <w:t>2</w:t>
            </w:r>
          </w:p>
        </w:tc>
        <w:tc>
          <w:tcPr>
            <w:tcW w:type="dxa" w:w="2520"/>
            <w:vAlign w:val="top"/>
            <w:tcMar>
              <w:top w:w="65" w:type="dxa"/>
              <w:start w:w="65" w:type="dxa"/>
              <w:bottom w:w="65" w:type="dxa"/>
              <w:end w:w="65" w:type="dxa"/>
            </w:tcMar>
            <w:shd w:fill="F7FAFC"/>
          </w:tcPr>
          <w:p>
            <w:pPr>
              <w:spacing w:after="0" w:line="240" w:lineRule="auto"/>
            </w:pPr>
            <w:r>
              <w:rPr>
                <w:rFonts w:ascii="Arial" w:hAnsi="Arial" w:eastAsia="Arial"/>
                <w:color w:val="202B36"/>
                <w:sz w:val="17"/>
              </w:rPr>
              <w:t>1</w:t>
            </w:r>
          </w:p>
        </w:tc>
      </w:tr>
      <w:tr>
        <w:trPr>
          <w:cantSplit/>
          <w:trHeight w:hRule="atLeast"/>
        </w:trPr>
        <w:tc>
          <w:tcPr>
            <w:tcW w:type="dxa" w:w="4608"/>
            <w:vAlign w:val="top"/>
            <w:tcMar>
              <w:top w:w="65" w:type="dxa"/>
              <w:start w:w="65" w:type="dxa"/>
              <w:bottom w:w="65" w:type="dxa"/>
              <w:end w:w="65" w:type="dxa"/>
            </w:tcMar>
          </w:tcPr>
          <w:p>
            <w:pPr>
              <w:spacing w:after="0" w:line="240" w:lineRule="auto"/>
            </w:pPr>
            <w:r>
              <w:rPr>
                <w:rFonts w:ascii="Arial" w:hAnsi="Arial" w:eastAsia="Arial"/>
                <w:color w:val="202B36"/>
                <w:sz w:val="17"/>
              </w:rPr>
              <w:t>Integer</w:t>
            </w:r>
          </w:p>
        </w:tc>
        <w:tc>
          <w:tcPr>
            <w:tcW w:type="dxa" w:w="2520"/>
            <w:vAlign w:val="top"/>
            <w:tcMar>
              <w:top w:w="65" w:type="dxa"/>
              <w:start w:w="65" w:type="dxa"/>
              <w:bottom w:w="65" w:type="dxa"/>
              <w:end w:w="65" w:type="dxa"/>
            </w:tcMar>
          </w:tcPr>
          <w:p>
            <w:pPr>
              <w:spacing w:after="0" w:line="240" w:lineRule="auto"/>
            </w:pPr>
            <w:r>
              <w:rPr>
                <w:rFonts w:ascii="Arial" w:hAnsi="Arial" w:eastAsia="Arial"/>
                <w:color w:val="202B36"/>
                <w:sz w:val="17"/>
              </w:rPr>
              <w:t>2</w:t>
            </w:r>
          </w:p>
        </w:tc>
        <w:tc>
          <w:tcPr>
            <w:tcW w:type="dxa" w:w="2520"/>
            <w:vAlign w:val="top"/>
            <w:tcMar>
              <w:top w:w="65" w:type="dxa"/>
              <w:start w:w="65" w:type="dxa"/>
              <w:bottom w:w="65" w:type="dxa"/>
              <w:end w:w="65" w:type="dxa"/>
            </w:tcMar>
          </w:tcPr>
          <w:p>
            <w:pPr>
              <w:spacing w:after="0" w:line="240" w:lineRule="auto"/>
            </w:pPr>
            <w:r>
              <w:rPr>
                <w:rFonts w:ascii="Arial" w:hAnsi="Arial" w:eastAsia="Arial"/>
                <w:color w:val="202B36"/>
                <w:sz w:val="17"/>
              </w:rPr>
              <w:t>5</w:t>
            </w:r>
          </w:p>
        </w:tc>
      </w:tr>
      <w:tr>
        <w:trPr>
          <w:cantSplit/>
          <w:trHeight w:hRule="atLeast"/>
        </w:trPr>
        <w:tc>
          <w:tcPr>
            <w:tcW w:type="dxa" w:w="4608"/>
            <w:vAlign w:val="top"/>
            <w:tcMar>
              <w:top w:w="65" w:type="dxa"/>
              <w:start w:w="65" w:type="dxa"/>
              <w:bottom w:w="65" w:type="dxa"/>
              <w:end w:w="65" w:type="dxa"/>
            </w:tcMar>
            <w:shd w:fill="F7FAFC"/>
          </w:tcPr>
          <w:p>
            <w:pPr>
              <w:spacing w:after="0" w:line="240" w:lineRule="auto"/>
            </w:pPr>
            <w:r>
              <w:rPr>
                <w:rFonts w:ascii="Arial" w:hAnsi="Arial" w:eastAsia="Arial"/>
                <w:color w:val="202B36"/>
                <w:sz w:val="17"/>
              </w:rPr>
              <w:t>Numeric</w:t>
            </w:r>
          </w:p>
        </w:tc>
        <w:tc>
          <w:tcPr>
            <w:tcW w:type="dxa" w:w="2520"/>
            <w:vAlign w:val="top"/>
            <w:tcMar>
              <w:top w:w="65" w:type="dxa"/>
              <w:start w:w="65" w:type="dxa"/>
              <w:bottom w:w="65" w:type="dxa"/>
              <w:end w:w="65" w:type="dxa"/>
            </w:tcMar>
            <w:shd w:fill="F7FAFC"/>
          </w:tcPr>
          <w:p>
            <w:pPr>
              <w:spacing w:after="0" w:line="240" w:lineRule="auto"/>
            </w:pPr>
            <w:r>
              <w:rPr>
                <w:rFonts w:ascii="Arial" w:hAnsi="Arial" w:eastAsia="Arial"/>
                <w:color w:val="202B36"/>
                <w:sz w:val="17"/>
              </w:rPr>
              <w:t>11</w:t>
            </w:r>
          </w:p>
        </w:tc>
        <w:tc>
          <w:tcPr>
            <w:tcW w:type="dxa" w:w="2520"/>
            <w:vAlign w:val="top"/>
            <w:tcMar>
              <w:top w:w="65" w:type="dxa"/>
              <w:start w:w="65" w:type="dxa"/>
              <w:bottom w:w="65" w:type="dxa"/>
              <w:end w:w="65" w:type="dxa"/>
            </w:tcMar>
            <w:shd w:fill="F7FAFC"/>
          </w:tcPr>
          <w:p>
            <w:pPr>
              <w:spacing w:after="0" w:line="240" w:lineRule="auto"/>
            </w:pPr>
            <w:r>
              <w:rPr>
                <w:rFonts w:ascii="Arial" w:hAnsi="Arial" w:eastAsia="Arial"/>
                <w:color w:val="202B36"/>
                <w:sz w:val="17"/>
              </w:rPr>
              <w:t>23</w:t>
            </w:r>
          </w:p>
        </w:tc>
      </w:tr>
      <w:tr>
        <w:trPr>
          <w:cantSplit/>
          <w:trHeight w:hRule="atLeast"/>
        </w:trPr>
        <w:tc>
          <w:tcPr>
            <w:tcW w:type="dxa" w:w="4608"/>
            <w:vAlign w:val="top"/>
            <w:tcMar>
              <w:top w:w="65" w:type="dxa"/>
              <w:start w:w="65" w:type="dxa"/>
              <w:bottom w:w="65" w:type="dxa"/>
              <w:end w:w="65" w:type="dxa"/>
            </w:tcMar>
          </w:tcPr>
          <w:p>
            <w:pPr>
              <w:spacing w:after="0" w:line="240" w:lineRule="auto"/>
            </w:pPr>
            <w:r>
              <w:rPr>
                <w:rFonts w:ascii="Arial" w:hAnsi="Arial" w:eastAsia="Arial"/>
                <w:color w:val="202B36"/>
                <w:sz w:val="17"/>
              </w:rPr>
              <w:t>String</w:t>
            </w:r>
          </w:p>
        </w:tc>
        <w:tc>
          <w:tcPr>
            <w:tcW w:type="dxa" w:w="2520"/>
            <w:vAlign w:val="top"/>
            <w:tcMar>
              <w:top w:w="65" w:type="dxa"/>
              <w:start w:w="65" w:type="dxa"/>
              <w:bottom w:w="65" w:type="dxa"/>
              <w:end w:w="65" w:type="dxa"/>
            </w:tcMar>
          </w:tcPr>
          <w:p>
            <w:pPr>
              <w:spacing w:after="0" w:line="240" w:lineRule="auto"/>
            </w:pPr>
            <w:r>
              <w:rPr>
                <w:rFonts w:ascii="Arial" w:hAnsi="Arial" w:eastAsia="Arial"/>
                <w:color w:val="202B36"/>
                <w:sz w:val="17"/>
              </w:rPr>
              <w:t>3</w:t>
            </w:r>
          </w:p>
        </w:tc>
        <w:tc>
          <w:tcPr>
            <w:tcW w:type="dxa" w:w="2520"/>
            <w:vAlign w:val="top"/>
            <w:tcMar>
              <w:top w:w="65" w:type="dxa"/>
              <w:start w:w="65" w:type="dxa"/>
              <w:bottom w:w="65" w:type="dxa"/>
              <w:end w:w="65" w:type="dxa"/>
            </w:tcMar>
          </w:tcPr>
          <w:p>
            <w:pPr>
              <w:spacing w:after="0" w:line="240" w:lineRule="auto"/>
            </w:pPr>
            <w:r>
              <w:rPr>
                <w:rFonts w:ascii="Arial" w:hAnsi="Arial" w:eastAsia="Arial"/>
                <w:color w:val="202B36"/>
                <w:sz w:val="17"/>
              </w:rPr>
              <w:t>1</w:t>
            </w:r>
          </w:p>
        </w:tc>
      </w:tr>
      <w:tr>
        <w:trPr>
          <w:cantSplit/>
          <w:trHeight w:hRule="atLeast"/>
        </w:trPr>
        <w:tc>
          <w:tcPr>
            <w:tcW w:type="dxa" w:w="4608"/>
            <w:vAlign w:val="top"/>
            <w:tcMar>
              <w:top w:w="65" w:type="dxa"/>
              <w:start w:w="65" w:type="dxa"/>
              <w:bottom w:w="65" w:type="dxa"/>
              <w:end w:w="65" w:type="dxa"/>
            </w:tcMar>
            <w:shd w:fill="F7FAFC"/>
          </w:tcPr>
          <w:p>
            <w:pPr>
              <w:spacing w:after="0" w:line="240" w:lineRule="auto"/>
            </w:pPr>
            <w:r>
              <w:rPr>
                <w:rFonts w:ascii="Arial" w:hAnsi="Arial" w:eastAsia="Arial"/>
                <w:color w:val="202B36"/>
                <w:sz w:val="17"/>
              </w:rPr>
              <w:t>Time</w:t>
            </w:r>
          </w:p>
        </w:tc>
        <w:tc>
          <w:tcPr>
            <w:tcW w:type="dxa" w:w="2520"/>
            <w:vAlign w:val="top"/>
            <w:tcMar>
              <w:top w:w="65" w:type="dxa"/>
              <w:start w:w="65" w:type="dxa"/>
              <w:bottom w:w="65" w:type="dxa"/>
              <w:end w:w="65" w:type="dxa"/>
            </w:tcMar>
            <w:shd w:fill="F7FAFC"/>
          </w:tcPr>
          <w:p>
            <w:pPr>
              <w:spacing w:after="0" w:line="240" w:lineRule="auto"/>
            </w:pPr>
            <w:r>
              <w:rPr>
                <w:rFonts w:ascii="Arial" w:hAnsi="Arial" w:eastAsia="Arial"/>
                <w:color w:val="202B36"/>
                <w:sz w:val="17"/>
              </w:rPr>
              <w:t>2</w:t>
            </w:r>
          </w:p>
        </w:tc>
        <w:tc>
          <w:tcPr>
            <w:tcW w:type="dxa" w:w="2520"/>
            <w:vAlign w:val="top"/>
            <w:tcMar>
              <w:top w:w="65" w:type="dxa"/>
              <w:start w:w="65" w:type="dxa"/>
              <w:bottom w:w="65" w:type="dxa"/>
              <w:end w:w="65" w:type="dxa"/>
            </w:tcMar>
            <w:shd w:fill="F7FAFC"/>
          </w:tcPr>
          <w:p>
            <w:pPr>
              <w:spacing w:after="0" w:line="240" w:lineRule="auto"/>
            </w:pPr>
            <w:r>
              <w:rPr>
                <w:rFonts w:ascii="Arial" w:hAnsi="Arial" w:eastAsia="Arial"/>
                <w:color w:val="202B36"/>
                <w:sz w:val="17"/>
              </w:rPr>
              <w:t>2</w:t>
            </w:r>
          </w:p>
        </w:tc>
      </w:tr>
    </w:tbl>
    <w:p>
      <w:pPr>
        <w:spacing w:after="0"/>
      </w:pPr>
    </w:p>
    <w:p>
      <w:pPr>
        <w:pStyle w:val="Heading1"/>
      </w:pPr>
      <w:r>
        <w:t>Cohort Construction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166"/>
      </w:tblGrid>
      <w:tr>
        <w:trPr>
          <w:cantSplit/>
        </w:trPr>
        <w:tc>
          <w:tcPr>
            <w:tcW w:type="dxa" w:w="10166"/>
            <w:tcMar>
              <w:top w:w="0" w:type="dxa"/>
              <w:start w:w="0" w:type="dxa"/>
              <w:bottom w:w="0" w:type="dxa"/>
              <w:end w:w="0" w:type="dxa"/>
            </w:tcMar>
          </w:tcPr>
          <w:p>
            <w:pPr>
              <w:spacing w:after="20"/>
              <w:jc w:val="center"/>
            </w:pPr>
            <w:r>
              <w:drawing>
                <wp:inline xmlns:a="http://schemas.openxmlformats.org/drawingml/2006/main" xmlns:pic="http://schemas.openxmlformats.org/drawingml/2006/picture">
                  <wp:extent cx="5806440" cy="3275848"/>
                  <wp:docPr id="2" name="Picture 2"/>
                  <wp:cNvGraphicFramePr>
                    <a:graphicFrameLocks noChangeAspect="1"/>
                  </wp:cNvGraphicFramePr>
                  <a:graphic>
                    <a:graphicData uri="http://schemas.openxmlformats.org/drawingml/2006/picture">
                      <pic:pic>
                        <pic:nvPicPr>
                          <pic:cNvPr id="0" name="cohort_flow.png"/>
                          <pic:cNvPicPr/>
                        </pic:nvPicPr>
                        <pic:blipFill>
                          <a:blip r:embed="rId10"/>
                          <a:stretch>
                            <a:fillRect/>
                          </a:stretch>
                        </pic:blipFill>
                        <pic:spPr>
                          <a:xfrm>
                            <a:off x="0" y="0"/>
                            <a:ext cx="5806440" cy="3275848"/>
                          </a:xfrm>
                          <a:prstGeom prst="rect"/>
                        </pic:spPr>
                      </pic:pic>
                    </a:graphicData>
                  </a:graphic>
                </wp:inline>
              </w:drawing>
            </w:r>
          </w:p>
          <w:p>
            <w:pPr>
              <w:pStyle w:val="Caption"/>
              <w:jc w:val="center"/>
            </w:pPr>
            <w:r>
              <w:rPr>
                <w:rFonts w:ascii="Arial" w:hAnsi="Arial" w:eastAsia="Arial"/>
                <w:i/>
                <w:color w:val="596875"/>
                <w:sz w:val="16"/>
              </w:rPr>
              <w:t>Figure 2. Deterministic cohort flow from the three public source files to 106,758 eligible session-level observations.</w:t>
            </w:r>
          </w:p>
        </w:tc>
      </w:tr>
    </w:tbl>
    <w:p>
      <w:pPr>
        <w:spacing w:after="0"/>
      </w:pP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3389"/>
        <w:gridCol w:w="3389"/>
        <w:gridCol w:w="3389"/>
      </w:tblGrid>
      <w:tr>
        <w:trPr>
          <w:tblHeader w:val="true"/>
          <w:cantSplit/>
        </w:trPr>
        <w:tc>
          <w:tcPr>
            <w:tcW w:type="dxa" w:w="3816"/>
            <w:shd w:fill="17324D"/>
            <w:tcMar>
              <w:top w:w="80" w:type="dxa"/>
              <w:start w:w="70" w:type="dxa"/>
              <w:bottom w:w="80" w:type="dxa"/>
              <w:end w:w="70" w:type="dxa"/>
            </w:tcMar>
            <w:vAlign w:val="center"/>
          </w:tcPr>
          <w:p>
            <w:pPr>
              <w:spacing w:after="0"/>
            </w:pPr>
            <w:r>
              <w:rPr>
                <w:rFonts w:ascii="Arial" w:hAnsi="Arial" w:eastAsia="Arial"/>
                <w:b/>
                <w:color w:val="FFFFFF"/>
                <w:sz w:val="16"/>
              </w:rPr>
              <w:t>Stage</w:t>
            </w:r>
          </w:p>
        </w:tc>
        <w:tc>
          <w:tcPr>
            <w:tcW w:type="dxa" w:w="1440"/>
            <w:shd w:fill="17324D"/>
            <w:tcMar>
              <w:top w:w="80" w:type="dxa"/>
              <w:start w:w="70" w:type="dxa"/>
              <w:bottom w:w="80" w:type="dxa"/>
              <w:end w:w="70" w:type="dxa"/>
            </w:tcMar>
            <w:vAlign w:val="center"/>
          </w:tcPr>
          <w:p>
            <w:pPr>
              <w:spacing w:after="0"/>
            </w:pPr>
            <w:r>
              <w:rPr>
                <w:rFonts w:ascii="Arial" w:hAnsi="Arial" w:eastAsia="Arial"/>
                <w:b/>
                <w:color w:val="FFFFFF"/>
                <w:sz w:val="16"/>
              </w:rPr>
              <w:t>Count</w:t>
            </w:r>
          </w:p>
        </w:tc>
        <w:tc>
          <w:tcPr>
            <w:tcW w:type="dxa" w:w="4392"/>
            <w:shd w:fill="17324D"/>
            <w:tcMar>
              <w:top w:w="80" w:type="dxa"/>
              <w:start w:w="70" w:type="dxa"/>
              <w:bottom w:w="80" w:type="dxa"/>
              <w:end w:w="70" w:type="dxa"/>
            </w:tcMar>
            <w:vAlign w:val="center"/>
          </w:tcPr>
          <w:p>
            <w:pPr>
              <w:spacing w:after="0"/>
            </w:pPr>
            <w:r>
              <w:rPr>
                <w:rFonts w:ascii="Arial" w:hAnsi="Arial" w:eastAsia="Arial"/>
                <w:b/>
                <w:color w:val="FFFFFF"/>
                <w:sz w:val="16"/>
              </w:rPr>
              <w:t>Rule or interpretation</w:t>
            </w:r>
          </w:p>
        </w:tc>
      </w:tr>
      <w:tr>
        <w:trPr>
          <w:cantSplit/>
          <w:trHeight w:hRule="atLeast"/>
        </w:trPr>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6"/>
              </w:rPr>
              <w:t>Patient records in Idp</w:t>
            </w:r>
          </w:p>
        </w:tc>
        <w:tc>
          <w:tcPr>
            <w:tcW w:type="dxa" w:w="1440"/>
            <w:vAlign w:val="top"/>
            <w:tcMar>
              <w:top w:w="65" w:type="dxa"/>
              <w:start w:w="65" w:type="dxa"/>
              <w:bottom w:w="65" w:type="dxa"/>
              <w:end w:w="65" w:type="dxa"/>
            </w:tcMar>
          </w:tcPr>
          <w:p>
            <w:pPr>
              <w:spacing w:after="0" w:line="240" w:lineRule="auto"/>
            </w:pPr>
            <w:r>
              <w:rPr>
                <w:rFonts w:ascii="Arial" w:hAnsi="Arial" w:eastAsia="Arial"/>
                <w:color w:val="202B36"/>
                <w:sz w:val="16"/>
              </w:rPr>
              <w:t>1,072</w:t>
            </w:r>
          </w:p>
        </w:tc>
        <w:tc>
          <w:tcPr>
            <w:tcW w:type="dxa" w:w="4392"/>
            <w:vAlign w:val="top"/>
            <w:tcMar>
              <w:top w:w="65" w:type="dxa"/>
              <w:start w:w="65" w:type="dxa"/>
              <w:bottom w:w="65" w:type="dxa"/>
              <w:end w:w="65" w:type="dxa"/>
            </w:tcMar>
          </w:tcPr>
          <w:p>
            <w:pPr>
              <w:spacing w:after="0" w:line="240" w:lineRule="auto"/>
            </w:pPr>
            <w:r>
              <w:rPr>
                <w:rFonts w:ascii="Arial" w:hAnsi="Arial" w:eastAsia="Arial"/>
                <w:color w:val="202B36"/>
                <w:sz w:val="16"/>
              </w:rPr>
              <w:t>Patient roster available for linkage</w:t>
            </w:r>
          </w:p>
        </w:tc>
      </w:tr>
      <w:tr>
        <w:trPr>
          <w:cantSplit/>
          <w:trHeight w:hRule="atLeast"/>
        </w:trPr>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6"/>
              </w:rPr>
              <w:t>D1 raw session rows</w:t>
            </w:r>
          </w:p>
        </w:tc>
        <w:tc>
          <w:tcPr>
            <w:tcW w:type="dxa" w:w="1440"/>
            <w:vAlign w:val="top"/>
            <w:tcMar>
              <w:top w:w="65" w:type="dxa"/>
              <w:start w:w="65" w:type="dxa"/>
              <w:bottom w:w="65" w:type="dxa"/>
              <w:end w:w="65" w:type="dxa"/>
            </w:tcMar>
            <w:shd w:fill="F7FAFC"/>
          </w:tcPr>
          <w:p>
            <w:pPr>
              <w:spacing w:after="0" w:line="240" w:lineRule="auto"/>
            </w:pPr>
            <w:r>
              <w:rPr>
                <w:rFonts w:ascii="Arial" w:hAnsi="Arial" w:eastAsia="Arial"/>
                <w:color w:val="202B36"/>
                <w:sz w:val="16"/>
              </w:rPr>
              <w:t>165,986</w:t>
            </w:r>
          </w:p>
        </w:tc>
        <w:tc>
          <w:tcPr>
            <w:tcW w:type="dxa" w:w="4392"/>
            <w:vAlign w:val="top"/>
            <w:tcMar>
              <w:top w:w="65" w:type="dxa"/>
              <w:start w:w="65" w:type="dxa"/>
              <w:bottom w:w="65" w:type="dxa"/>
              <w:end w:w="65" w:type="dxa"/>
            </w:tcMar>
            <w:shd w:fill="F7FAFC"/>
          </w:tcPr>
          <w:p>
            <w:pPr>
              <w:spacing w:after="0" w:line="240" w:lineRule="auto"/>
            </w:pPr>
            <w:r>
              <w:rPr>
                <w:rFonts w:ascii="Arial" w:hAnsi="Arial" w:eastAsia="Arial"/>
                <w:color w:val="202B36"/>
                <w:sz w:val="16"/>
              </w:rPr>
              <w:t>Includes 128 rows without a usable session date</w:t>
            </w:r>
          </w:p>
        </w:tc>
      </w:tr>
      <w:tr>
        <w:trPr>
          <w:cantSplit/>
          <w:trHeight w:hRule="atLeast"/>
        </w:trPr>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6"/>
              </w:rPr>
              <w:t>Valid unique patient-days in D1</w:t>
            </w:r>
          </w:p>
        </w:tc>
        <w:tc>
          <w:tcPr>
            <w:tcW w:type="dxa" w:w="1440"/>
            <w:vAlign w:val="top"/>
            <w:tcMar>
              <w:top w:w="65" w:type="dxa"/>
              <w:start w:w="65" w:type="dxa"/>
              <w:bottom w:w="65" w:type="dxa"/>
              <w:end w:w="65" w:type="dxa"/>
            </w:tcMar>
          </w:tcPr>
          <w:p>
            <w:pPr>
              <w:spacing w:after="0" w:line="240" w:lineRule="auto"/>
            </w:pPr>
            <w:r>
              <w:rPr>
                <w:rFonts w:ascii="Arial" w:hAnsi="Arial" w:eastAsia="Arial"/>
                <w:color w:val="202B36"/>
                <w:sz w:val="16"/>
              </w:rPr>
              <w:t>165,849</w:t>
            </w:r>
          </w:p>
        </w:tc>
        <w:tc>
          <w:tcPr>
            <w:tcW w:type="dxa" w:w="4392"/>
            <w:vAlign w:val="top"/>
            <w:tcMar>
              <w:top w:w="65" w:type="dxa"/>
              <w:start w:w="65" w:type="dxa"/>
              <w:bottom w:w="65" w:type="dxa"/>
              <w:end w:w="65" w:type="dxa"/>
            </w:tcMar>
          </w:tcPr>
          <w:p>
            <w:pPr>
              <w:spacing w:after="0" w:line="240" w:lineRule="auto"/>
            </w:pPr>
            <w:r>
              <w:rPr>
                <w:rFonts w:ascii="Arial" w:hAnsi="Arial" w:eastAsia="Arial"/>
                <w:color w:val="202B36"/>
                <w:sz w:val="16"/>
              </w:rPr>
              <w:t>After invalid-date removal and patient-date deduplication</w:t>
            </w:r>
          </w:p>
        </w:tc>
      </w:tr>
      <w:tr>
        <w:trPr>
          <w:cantSplit/>
          <w:trHeight w:hRule="atLeast"/>
        </w:trPr>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6"/>
              </w:rPr>
              <w:t>VIP rows linked to D1</w:t>
            </w:r>
          </w:p>
        </w:tc>
        <w:tc>
          <w:tcPr>
            <w:tcW w:type="dxa" w:w="1440"/>
            <w:vAlign w:val="top"/>
            <w:tcMar>
              <w:top w:w="65" w:type="dxa"/>
              <w:start w:w="65" w:type="dxa"/>
              <w:bottom w:w="65" w:type="dxa"/>
              <w:end w:w="65" w:type="dxa"/>
            </w:tcMar>
            <w:shd w:fill="F7FAFC"/>
          </w:tcPr>
          <w:p>
            <w:pPr>
              <w:spacing w:after="0" w:line="240" w:lineRule="auto"/>
            </w:pPr>
            <w:r>
              <w:rPr>
                <w:rFonts w:ascii="Arial" w:hAnsi="Arial" w:eastAsia="Arial"/>
                <w:color w:val="202B36"/>
                <w:sz w:val="16"/>
              </w:rPr>
              <w:t>2,228,411</w:t>
            </w:r>
          </w:p>
        </w:tc>
        <w:tc>
          <w:tcPr>
            <w:tcW w:type="dxa" w:w="4392"/>
            <w:vAlign w:val="top"/>
            <w:tcMar>
              <w:top w:w="65" w:type="dxa"/>
              <w:start w:w="65" w:type="dxa"/>
              <w:bottom w:w="65" w:type="dxa"/>
              <w:end w:w="65" w:type="dxa"/>
            </w:tcMar>
            <w:shd w:fill="F7FAFC"/>
          </w:tcPr>
          <w:p>
            <w:pPr>
              <w:spacing w:after="0" w:line="240" w:lineRule="auto"/>
            </w:pPr>
            <w:r>
              <w:rPr>
                <w:rFonts w:ascii="Arial" w:hAnsi="Arial" w:eastAsia="Arial"/>
                <w:color w:val="202B36"/>
                <w:sz w:val="16"/>
              </w:rPr>
              <w:t>Monitor rows with a matching patient-date session</w:t>
            </w:r>
          </w:p>
        </w:tc>
      </w:tr>
      <w:tr>
        <w:trPr>
          <w:cantSplit/>
          <w:trHeight w:hRule="atLeast"/>
        </w:trPr>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6"/>
              </w:rPr>
              <w:t>Linked patient-days</w:t>
            </w:r>
          </w:p>
        </w:tc>
        <w:tc>
          <w:tcPr>
            <w:tcW w:type="dxa" w:w="1440"/>
            <w:vAlign w:val="top"/>
            <w:tcMar>
              <w:top w:w="65" w:type="dxa"/>
              <w:start w:w="65" w:type="dxa"/>
              <w:bottom w:w="65" w:type="dxa"/>
              <w:end w:w="65" w:type="dxa"/>
            </w:tcMar>
          </w:tcPr>
          <w:p>
            <w:pPr>
              <w:spacing w:after="0" w:line="240" w:lineRule="auto"/>
            </w:pPr>
            <w:r>
              <w:rPr>
                <w:rFonts w:ascii="Arial" w:hAnsi="Arial" w:eastAsia="Arial"/>
                <w:color w:val="202B36"/>
                <w:sz w:val="16"/>
              </w:rPr>
              <w:t>110,790</w:t>
            </w:r>
          </w:p>
        </w:tc>
        <w:tc>
          <w:tcPr>
            <w:tcW w:type="dxa" w:w="4392"/>
            <w:vAlign w:val="top"/>
            <w:tcMar>
              <w:top w:w="65" w:type="dxa"/>
              <w:start w:w="65" w:type="dxa"/>
              <w:bottom w:w="65" w:type="dxa"/>
              <w:end w:w="65" w:type="dxa"/>
            </w:tcMar>
          </w:tcPr>
          <w:p>
            <w:pPr>
              <w:spacing w:after="0" w:line="240" w:lineRule="auto"/>
            </w:pPr>
            <w:r>
              <w:rPr>
                <w:rFonts w:ascii="Arial" w:hAnsi="Arial" w:eastAsia="Arial"/>
                <w:color w:val="202B36"/>
                <w:sz w:val="16"/>
              </w:rPr>
              <w:t>At least one linked VIP record</w:t>
            </w:r>
          </w:p>
        </w:tc>
      </w:tr>
      <w:tr>
        <w:trPr>
          <w:cantSplit/>
          <w:trHeight w:hRule="atLeast"/>
        </w:trPr>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6"/>
              </w:rPr>
              <w:t>Patient-days with valid index</w:t>
            </w:r>
          </w:p>
        </w:tc>
        <w:tc>
          <w:tcPr>
            <w:tcW w:type="dxa" w:w="1440"/>
            <w:vAlign w:val="top"/>
            <w:tcMar>
              <w:top w:w="65" w:type="dxa"/>
              <w:start w:w="65" w:type="dxa"/>
              <w:bottom w:w="65" w:type="dxa"/>
              <w:end w:w="65" w:type="dxa"/>
            </w:tcMar>
            <w:shd w:fill="F7FAFC"/>
          </w:tcPr>
          <w:p>
            <w:pPr>
              <w:spacing w:after="0" w:line="240" w:lineRule="auto"/>
            </w:pPr>
            <w:r>
              <w:rPr>
                <w:rFonts w:ascii="Arial" w:hAnsi="Arial" w:eastAsia="Arial"/>
                <w:color w:val="202B36"/>
                <w:sz w:val="16"/>
              </w:rPr>
              <w:t>108,781</w:t>
            </w:r>
          </w:p>
        </w:tc>
        <w:tc>
          <w:tcPr>
            <w:tcW w:type="dxa" w:w="4392"/>
            <w:vAlign w:val="top"/>
            <w:tcMar>
              <w:top w:w="65" w:type="dxa"/>
              <w:start w:w="65" w:type="dxa"/>
              <w:bottom w:w="65" w:type="dxa"/>
              <w:end w:w="65" w:type="dxa"/>
            </w:tcMar>
            <w:shd w:fill="F7FAFC"/>
          </w:tcPr>
          <w:p>
            <w:pPr>
              <w:spacing w:after="0" w:line="240" w:lineRule="auto"/>
            </w:pPr>
            <w:r>
              <w:rPr>
                <w:rFonts w:ascii="Arial" w:hAnsi="Arial" w:eastAsia="Arial"/>
                <w:color w:val="202B36"/>
                <w:sz w:val="16"/>
              </w:rPr>
              <w:t>Earliest active record within 30 minutes and valid index BP</w:t>
            </w:r>
          </w:p>
        </w:tc>
      </w:tr>
      <w:tr>
        <w:trPr>
          <w:cantSplit/>
          <w:trHeight w:hRule="atLeast"/>
        </w:trPr>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6"/>
              </w:rPr>
              <w:t>Final eligible sessions</w:t>
            </w:r>
          </w:p>
        </w:tc>
        <w:tc>
          <w:tcPr>
            <w:tcW w:type="dxa" w:w="1440"/>
            <w:vAlign w:val="top"/>
            <w:tcMar>
              <w:top w:w="65" w:type="dxa"/>
              <w:start w:w="65" w:type="dxa"/>
              <w:bottom w:w="65" w:type="dxa"/>
              <w:end w:w="65" w:type="dxa"/>
            </w:tcMar>
          </w:tcPr>
          <w:p>
            <w:pPr>
              <w:spacing w:after="0" w:line="240" w:lineRule="auto"/>
            </w:pPr>
            <w:r>
              <w:rPr>
                <w:rFonts w:ascii="Arial" w:hAnsi="Arial" w:eastAsia="Arial"/>
                <w:color w:val="202B36"/>
                <w:sz w:val="16"/>
              </w:rPr>
              <w:t>106,758</w:t>
            </w:r>
          </w:p>
        </w:tc>
        <w:tc>
          <w:tcPr>
            <w:tcW w:type="dxa" w:w="4392"/>
            <w:vAlign w:val="top"/>
            <w:tcMar>
              <w:top w:w="65" w:type="dxa"/>
              <w:start w:w="65" w:type="dxa"/>
              <w:bottom w:w="65" w:type="dxa"/>
              <w:end w:w="65" w:type="dxa"/>
            </w:tcMar>
          </w:tcPr>
          <w:p>
            <w:pPr>
              <w:spacing w:after="0" w:line="240" w:lineRule="auto"/>
            </w:pPr>
            <w:r>
              <w:rPr>
                <w:rFonts w:ascii="Arial" w:hAnsi="Arial" w:eastAsia="Arial"/>
                <w:color w:val="202B36"/>
                <w:sz w:val="16"/>
              </w:rPr>
              <w:t>Baseline SBP at least 90 and adequate post-index follow-up</w:t>
            </w:r>
          </w:p>
        </w:tc>
      </w:tr>
    </w:tbl>
    <w:p>
      <w:pPr>
        <w:spacing w:after="0"/>
      </w:pPr>
    </w:p>
    <w:p>
      <w:pPr>
        <w:spacing w:after="100"/>
      </w:pPr>
      <w:r>
        <w:rPr>
          <w:rFonts w:ascii="Arial" w:hAnsi="Arial" w:eastAsia="Arial"/>
          <w:b/>
          <w:color w:val="202B36"/>
        </w:rPr>
        <w:t>Selection implication.</w:t>
      </w:r>
      <w:r>
        <w:rPr>
          <w:rFonts w:ascii="Arial" w:hAnsi="Arial" w:eastAsia="Arial"/>
          <w:i w:val="0"/>
          <w:color w:val="202B36"/>
        </w:rPr>
        <w:t xml:space="preserve"> The final cohort includes 830 of the 1,072 public patients. Excluding baseline hypotension, short or sparsely measured sessions, and unlinked patient-days improves label validity but may make the analytic cohort systematically healthier, more observable, or operationally different from excluded sessions. External validation is therefore required before clinical use.</w:t>
      </w:r>
    </w:p>
    <w:p>
      <w:pPr>
        <w:pStyle w:val="Heading1"/>
      </w:pPr>
      <w:r>
        <w:t>Data Quality and Missingness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166"/>
      </w:tblGrid>
      <w:tr>
        <w:trPr>
          <w:cantSplit/>
        </w:trPr>
        <w:tc>
          <w:tcPr>
            <w:tcW w:type="dxa" w:w="10166"/>
            <w:tcMar>
              <w:top w:w="0" w:type="dxa"/>
              <w:start w:w="0" w:type="dxa"/>
              <w:bottom w:w="0" w:type="dxa"/>
              <w:end w:w="0" w:type="dxa"/>
            </w:tcMar>
          </w:tcPr>
          <w:p>
            <w:pPr>
              <w:spacing w:after="20"/>
              <w:jc w:val="center"/>
            </w:pPr>
            <w:r>
              <w:drawing>
                <wp:inline xmlns:a="http://schemas.openxmlformats.org/drawingml/2006/main" xmlns:pic="http://schemas.openxmlformats.org/drawingml/2006/picture">
                  <wp:extent cx="5897880" cy="3029394"/>
                  <wp:docPr id="3" name="Picture 3"/>
                  <wp:cNvGraphicFramePr>
                    <a:graphicFrameLocks noChangeAspect="1"/>
                  </wp:cNvGraphicFramePr>
                  <a:graphic>
                    <a:graphicData uri="http://schemas.openxmlformats.org/drawingml/2006/picture">
                      <pic:pic>
                        <pic:nvPicPr>
                          <pic:cNvPr id="0" name="missingness.png"/>
                          <pic:cNvPicPr/>
                        </pic:nvPicPr>
                        <pic:blipFill>
                          <a:blip r:embed="rId11"/>
                          <a:stretch>
                            <a:fillRect/>
                          </a:stretch>
                        </pic:blipFill>
                        <pic:spPr>
                          <a:xfrm>
                            <a:off x="0" y="0"/>
                            <a:ext cx="5897880" cy="3029394"/>
                          </a:xfrm>
                          <a:prstGeom prst="rect"/>
                        </pic:spPr>
                      </pic:pic>
                    </a:graphicData>
                  </a:graphic>
                </wp:inline>
              </w:drawing>
            </w:r>
          </w:p>
          <w:p>
            <w:pPr>
              <w:pStyle w:val="Caption"/>
              <w:jc w:val="center"/>
            </w:pPr>
            <w:r>
              <w:rPr>
                <w:rFonts w:ascii="Arial" w:hAnsi="Arial" w:eastAsia="Arial"/>
                <w:i/>
                <w:color w:val="596875"/>
                <w:sz w:val="16"/>
              </w:rPr>
              <w:t>Figure 3. Missingness is concentrated in 128 D1 rows and in history or dialysis-vintage variables in the final analytic table.</w:t>
            </w:r>
          </w:p>
        </w:tc>
      </w:tr>
    </w:tbl>
    <w:p>
      <w:pPr>
        <w:spacing w:after="0"/>
      </w:pP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2033"/>
        <w:gridCol w:w="2033"/>
        <w:gridCol w:w="2033"/>
        <w:gridCol w:w="2033"/>
        <w:gridCol w:w="2033"/>
      </w:tblGrid>
      <w:tr>
        <w:trPr>
          <w:tblHeader w:val="true"/>
          <w:cantSplit/>
        </w:trPr>
        <w:tc>
          <w:tcPr>
            <w:tcW w:type="dxa" w:w="1224"/>
            <w:shd w:fill="17324D"/>
            <w:tcMar>
              <w:top w:w="80" w:type="dxa"/>
              <w:start w:w="70" w:type="dxa"/>
              <w:bottom w:w="80" w:type="dxa"/>
              <w:end w:w="70" w:type="dxa"/>
            </w:tcMar>
            <w:vAlign w:val="center"/>
          </w:tcPr>
          <w:p>
            <w:pPr>
              <w:spacing w:after="0"/>
            </w:pPr>
            <w:r>
              <w:rPr>
                <w:rFonts w:ascii="Arial" w:hAnsi="Arial" w:eastAsia="Arial"/>
                <w:b/>
                <w:color w:val="FFFFFF"/>
                <w:sz w:val="15"/>
              </w:rPr>
              <w:t>Table</w:t>
            </w:r>
          </w:p>
        </w:tc>
        <w:tc>
          <w:tcPr>
            <w:tcW w:type="dxa" w:w="2232"/>
            <w:shd w:fill="17324D"/>
            <w:tcMar>
              <w:top w:w="80" w:type="dxa"/>
              <w:start w:w="70" w:type="dxa"/>
              <w:bottom w:w="80" w:type="dxa"/>
              <w:end w:w="70" w:type="dxa"/>
            </w:tcMar>
            <w:vAlign w:val="center"/>
          </w:tcPr>
          <w:p>
            <w:pPr>
              <w:spacing w:after="0"/>
            </w:pPr>
            <w:r>
              <w:rPr>
                <w:rFonts w:ascii="Arial" w:hAnsi="Arial" w:eastAsia="Arial"/>
                <w:b/>
                <w:color w:val="FFFFFF"/>
                <w:sz w:val="15"/>
              </w:rPr>
              <w:t>Variable group</w:t>
            </w:r>
          </w:p>
        </w:tc>
        <w:tc>
          <w:tcPr>
            <w:tcW w:type="dxa" w:w="1080"/>
            <w:shd w:fill="17324D"/>
            <w:tcMar>
              <w:top w:w="80" w:type="dxa"/>
              <w:start w:w="70" w:type="dxa"/>
              <w:bottom w:w="80" w:type="dxa"/>
              <w:end w:w="70" w:type="dxa"/>
            </w:tcMar>
            <w:vAlign w:val="center"/>
          </w:tcPr>
          <w:p>
            <w:pPr>
              <w:spacing w:after="0"/>
            </w:pPr>
            <w:r>
              <w:rPr>
                <w:rFonts w:ascii="Arial" w:hAnsi="Arial" w:eastAsia="Arial"/>
                <w:b/>
                <w:color w:val="FFFFFF"/>
                <w:sz w:val="15"/>
              </w:rPr>
              <w:t>Missing n</w:t>
            </w:r>
          </w:p>
        </w:tc>
        <w:tc>
          <w:tcPr>
            <w:tcW w:type="dxa" w:w="1296"/>
            <w:shd w:fill="17324D"/>
            <w:tcMar>
              <w:top w:w="80" w:type="dxa"/>
              <w:start w:w="70" w:type="dxa"/>
              <w:bottom w:w="80" w:type="dxa"/>
              <w:end w:w="70" w:type="dxa"/>
            </w:tcMar>
            <w:vAlign w:val="center"/>
          </w:tcPr>
          <w:p>
            <w:pPr>
              <w:spacing w:after="0"/>
            </w:pPr>
            <w:r>
              <w:rPr>
                <w:rFonts w:ascii="Arial" w:hAnsi="Arial" w:eastAsia="Arial"/>
                <w:b/>
                <w:color w:val="FFFFFF"/>
                <w:sz w:val="15"/>
              </w:rPr>
              <w:t>Missing percent</w:t>
            </w:r>
          </w:p>
        </w:tc>
        <w:tc>
          <w:tcPr>
            <w:tcW w:type="dxa" w:w="3816"/>
            <w:shd w:fill="17324D"/>
            <w:tcMar>
              <w:top w:w="80" w:type="dxa"/>
              <w:start w:w="70" w:type="dxa"/>
              <w:bottom w:w="80" w:type="dxa"/>
              <w:end w:w="70" w:type="dxa"/>
            </w:tcMar>
            <w:vAlign w:val="center"/>
          </w:tcPr>
          <w:p>
            <w:pPr>
              <w:spacing w:after="0"/>
            </w:pPr>
            <w:r>
              <w:rPr>
                <w:rFonts w:ascii="Arial" w:hAnsi="Arial" w:eastAsia="Arial"/>
                <w:b/>
                <w:color w:val="FFFFFF"/>
                <w:sz w:val="15"/>
              </w:rPr>
              <w:t>Interpretation</w:t>
            </w:r>
          </w:p>
        </w:tc>
      </w:tr>
      <w:tr>
        <w:trPr>
          <w:cantSplit/>
          <w:trHeight w:hRule="atLeast"/>
        </w:trPr>
        <w:tc>
          <w:tcPr>
            <w:tcW w:type="dxa" w:w="1224"/>
            <w:vAlign w:val="top"/>
            <w:tcMar>
              <w:top w:w="65" w:type="dxa"/>
              <w:start w:w="65" w:type="dxa"/>
              <w:bottom w:w="65" w:type="dxa"/>
              <w:end w:w="65" w:type="dxa"/>
            </w:tcMar>
          </w:tcPr>
          <w:p>
            <w:pPr>
              <w:spacing w:after="0" w:line="240" w:lineRule="auto"/>
            </w:pPr>
            <w:r>
              <w:rPr>
                <w:rFonts w:ascii="Arial" w:hAnsi="Arial" w:eastAsia="Arial"/>
                <w:color w:val="202B36"/>
                <w:sz w:val="15"/>
              </w:rPr>
              <w:t>Idp</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5"/>
              </w:rPr>
              <w:t>All 5 variables</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5"/>
              </w:rPr>
              <w:t>0</w:t>
            </w:r>
          </w:p>
        </w:tc>
        <w:tc>
          <w:tcPr>
            <w:tcW w:type="dxa" w:w="1296"/>
            <w:vAlign w:val="top"/>
            <w:tcMar>
              <w:top w:w="65" w:type="dxa"/>
              <w:start w:w="65" w:type="dxa"/>
              <w:bottom w:w="65" w:type="dxa"/>
              <w:end w:w="65" w:type="dxa"/>
            </w:tcMar>
          </w:tcPr>
          <w:p>
            <w:pPr>
              <w:spacing w:after="0" w:line="240" w:lineRule="auto"/>
            </w:pPr>
            <w:r>
              <w:rPr>
                <w:rFonts w:ascii="Arial" w:hAnsi="Arial" w:eastAsia="Arial"/>
                <w:color w:val="202B36"/>
                <w:sz w:val="15"/>
              </w:rPr>
              <w:t>0.000%</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5"/>
              </w:rPr>
              <w:t>No source missingness detected</w:t>
            </w:r>
          </w:p>
        </w:tc>
      </w:tr>
      <w:tr>
        <w:trPr>
          <w:cantSplit/>
          <w:trHeight w:hRule="atLeast"/>
        </w:trPr>
        <w:tc>
          <w:tcPr>
            <w:tcW w:type="dxa" w:w="122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Hemrec D1</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All fields except pid</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5"/>
              </w:rPr>
              <w:t>128 each</w:t>
            </w:r>
          </w:p>
        </w:tc>
        <w:tc>
          <w:tcPr>
            <w:tcW w:type="dxa" w:w="1296"/>
            <w:vAlign w:val="top"/>
            <w:tcMar>
              <w:top w:w="65" w:type="dxa"/>
              <w:start w:w="65" w:type="dxa"/>
              <w:bottom w:w="65" w:type="dxa"/>
              <w:end w:w="65" w:type="dxa"/>
            </w:tcMar>
            <w:shd w:fill="F7FAFC"/>
          </w:tcPr>
          <w:p>
            <w:pPr>
              <w:spacing w:after="0" w:line="240" w:lineRule="auto"/>
            </w:pPr>
            <w:r>
              <w:rPr>
                <w:rFonts w:ascii="Arial" w:hAnsi="Arial" w:eastAsia="Arial"/>
                <w:color w:val="202B36"/>
                <w:sz w:val="15"/>
              </w:rPr>
              <w:t>0.077%</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5"/>
              </w:rPr>
              <w:t>The same 128 rows lack all session details</w:t>
            </w:r>
          </w:p>
        </w:tc>
      </w:tr>
      <w:tr>
        <w:trPr>
          <w:cantSplit/>
          <w:trHeight w:hRule="atLeast"/>
        </w:trPr>
        <w:tc>
          <w:tcPr>
            <w:tcW w:type="dxa" w:w="1224"/>
            <w:vAlign w:val="top"/>
            <w:tcMar>
              <w:top w:w="65" w:type="dxa"/>
              <w:start w:w="65" w:type="dxa"/>
              <w:bottom w:w="65" w:type="dxa"/>
              <w:end w:w="65" w:type="dxa"/>
            </w:tcMar>
          </w:tcPr>
          <w:p>
            <w:pPr>
              <w:spacing w:after="0" w:line="240" w:lineRule="auto"/>
            </w:pPr>
            <w:r>
              <w:rPr>
                <w:rFonts w:ascii="Arial" w:hAnsi="Arial" w:eastAsia="Arial"/>
                <w:color w:val="202B36"/>
                <w:sz w:val="15"/>
              </w:rPr>
              <w:t>Hemrec VIP</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5"/>
              </w:rPr>
              <w:t>All 10 variables</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5"/>
              </w:rPr>
              <w:t>0</w:t>
            </w:r>
          </w:p>
        </w:tc>
        <w:tc>
          <w:tcPr>
            <w:tcW w:type="dxa" w:w="1296"/>
            <w:vAlign w:val="top"/>
            <w:tcMar>
              <w:top w:w="65" w:type="dxa"/>
              <w:start w:w="65" w:type="dxa"/>
              <w:bottom w:w="65" w:type="dxa"/>
              <w:end w:w="65" w:type="dxa"/>
            </w:tcMar>
          </w:tcPr>
          <w:p>
            <w:pPr>
              <w:spacing w:after="0" w:line="240" w:lineRule="auto"/>
            </w:pPr>
            <w:r>
              <w:rPr>
                <w:rFonts w:ascii="Arial" w:hAnsi="Arial" w:eastAsia="Arial"/>
                <w:color w:val="202B36"/>
                <w:sz w:val="15"/>
              </w:rPr>
              <w:t>0.000%</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5"/>
              </w:rPr>
              <w:t>No encoded nulls detected</w:t>
            </w:r>
          </w:p>
        </w:tc>
      </w:tr>
      <w:tr>
        <w:trPr>
          <w:cantSplit/>
          <w:trHeight w:hRule="atLeast"/>
        </w:trPr>
        <w:tc>
          <w:tcPr>
            <w:tcW w:type="dxa" w:w="122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Analytic</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dialysis_vintage_years</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5"/>
              </w:rPr>
              <w:t>1,465</w:t>
            </w:r>
          </w:p>
        </w:tc>
        <w:tc>
          <w:tcPr>
            <w:tcW w:type="dxa" w:w="1296"/>
            <w:vAlign w:val="top"/>
            <w:tcMar>
              <w:top w:w="65" w:type="dxa"/>
              <w:start w:w="65" w:type="dxa"/>
              <w:bottom w:w="65" w:type="dxa"/>
              <w:end w:w="65" w:type="dxa"/>
            </w:tcMar>
            <w:shd w:fill="F7FAFC"/>
          </w:tcPr>
          <w:p>
            <w:pPr>
              <w:spacing w:after="0" w:line="240" w:lineRule="auto"/>
            </w:pPr>
            <w:r>
              <w:rPr>
                <w:rFonts w:ascii="Arial" w:hAnsi="Arial" w:eastAsia="Arial"/>
                <w:color w:val="202B36"/>
                <w:sz w:val="15"/>
              </w:rPr>
              <w:t>1.372%</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5"/>
              </w:rPr>
              <w:t>Unavailable or invalid chronology</w:t>
            </w:r>
          </w:p>
        </w:tc>
      </w:tr>
      <w:tr>
        <w:trPr>
          <w:cantSplit/>
          <w:trHeight w:hRule="atLeast"/>
        </w:trPr>
        <w:tc>
          <w:tcPr>
            <w:tcW w:type="dxa" w:w="1224"/>
            <w:vAlign w:val="top"/>
            <w:tcMar>
              <w:top w:w="65" w:type="dxa"/>
              <w:start w:w="65" w:type="dxa"/>
              <w:bottom w:w="65" w:type="dxa"/>
              <w:end w:w="65" w:type="dxa"/>
            </w:tcMar>
          </w:tcPr>
          <w:p>
            <w:pPr>
              <w:spacing w:after="0" w:line="240" w:lineRule="auto"/>
            </w:pPr>
            <w:r>
              <w:rPr>
                <w:rFonts w:ascii="Arial" w:hAnsi="Arial" w:eastAsia="Arial"/>
                <w:color w:val="202B36"/>
                <w:sz w:val="15"/>
              </w:rPr>
              <w:t>Analytic</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5"/>
              </w:rPr>
              <w:t>prior_session_idh</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5"/>
              </w:rPr>
              <w:t>830</w:t>
            </w:r>
          </w:p>
        </w:tc>
        <w:tc>
          <w:tcPr>
            <w:tcW w:type="dxa" w:w="1296"/>
            <w:vAlign w:val="top"/>
            <w:tcMar>
              <w:top w:w="65" w:type="dxa"/>
              <w:start w:w="65" w:type="dxa"/>
              <w:bottom w:w="65" w:type="dxa"/>
              <w:end w:w="65" w:type="dxa"/>
            </w:tcMar>
          </w:tcPr>
          <w:p>
            <w:pPr>
              <w:spacing w:after="0" w:line="240" w:lineRule="auto"/>
            </w:pPr>
            <w:r>
              <w:rPr>
                <w:rFonts w:ascii="Arial" w:hAnsi="Arial" w:eastAsia="Arial"/>
                <w:color w:val="202B36"/>
                <w:sz w:val="15"/>
              </w:rPr>
              <w:t>0.777%</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5"/>
              </w:rPr>
              <w:t>First eligible session per patient</w:t>
            </w:r>
          </w:p>
        </w:tc>
      </w:tr>
      <w:tr>
        <w:trPr>
          <w:cantSplit/>
          <w:trHeight w:hRule="atLeast"/>
        </w:trPr>
        <w:tc>
          <w:tcPr>
            <w:tcW w:type="dxa" w:w="122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Analytic</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prior_nadir_sbp</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5"/>
              </w:rPr>
              <w:t>830</w:t>
            </w:r>
          </w:p>
        </w:tc>
        <w:tc>
          <w:tcPr>
            <w:tcW w:type="dxa" w:w="1296"/>
            <w:vAlign w:val="top"/>
            <w:tcMar>
              <w:top w:w="65" w:type="dxa"/>
              <w:start w:w="65" w:type="dxa"/>
              <w:bottom w:w="65" w:type="dxa"/>
              <w:end w:w="65" w:type="dxa"/>
            </w:tcMar>
            <w:shd w:fill="F7FAFC"/>
          </w:tcPr>
          <w:p>
            <w:pPr>
              <w:spacing w:after="0" w:line="240" w:lineRule="auto"/>
            </w:pPr>
            <w:r>
              <w:rPr>
                <w:rFonts w:ascii="Arial" w:hAnsi="Arial" w:eastAsia="Arial"/>
                <w:color w:val="202B36"/>
                <w:sz w:val="15"/>
              </w:rPr>
              <w:t>0.777%</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5"/>
              </w:rPr>
              <w:t>First eligible session per patient</w:t>
            </w:r>
          </w:p>
        </w:tc>
      </w:tr>
      <w:tr>
        <w:trPr>
          <w:cantSplit/>
          <w:trHeight w:hRule="atLeast"/>
        </w:trPr>
        <w:tc>
          <w:tcPr>
            <w:tcW w:type="dxa" w:w="1224"/>
            <w:vAlign w:val="top"/>
            <w:tcMar>
              <w:top w:w="65" w:type="dxa"/>
              <w:start w:w="65" w:type="dxa"/>
              <w:bottom w:w="65" w:type="dxa"/>
              <w:end w:w="65" w:type="dxa"/>
            </w:tcMar>
          </w:tcPr>
          <w:p>
            <w:pPr>
              <w:spacing w:after="0" w:line="240" w:lineRule="auto"/>
            </w:pPr>
            <w:r>
              <w:rPr>
                <w:rFonts w:ascii="Arial" w:hAnsi="Arial" w:eastAsia="Arial"/>
                <w:color w:val="202B36"/>
                <w:sz w:val="15"/>
              </w:rPr>
              <w:t>Analytic</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5"/>
              </w:rPr>
              <w:t>prior_idh_rate</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5"/>
              </w:rPr>
              <w:t>830</w:t>
            </w:r>
          </w:p>
        </w:tc>
        <w:tc>
          <w:tcPr>
            <w:tcW w:type="dxa" w:w="1296"/>
            <w:vAlign w:val="top"/>
            <w:tcMar>
              <w:top w:w="65" w:type="dxa"/>
              <w:start w:w="65" w:type="dxa"/>
              <w:bottom w:w="65" w:type="dxa"/>
              <w:end w:w="65" w:type="dxa"/>
            </w:tcMar>
          </w:tcPr>
          <w:p>
            <w:pPr>
              <w:spacing w:after="0" w:line="240" w:lineRule="auto"/>
            </w:pPr>
            <w:r>
              <w:rPr>
                <w:rFonts w:ascii="Arial" w:hAnsi="Arial" w:eastAsia="Arial"/>
                <w:color w:val="202B36"/>
                <w:sz w:val="15"/>
              </w:rPr>
              <w:t>0.777%</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5"/>
              </w:rPr>
              <w:t>First eligible session per patient</w:t>
            </w:r>
          </w:p>
        </w:tc>
      </w:tr>
      <w:tr>
        <w:trPr>
          <w:cantSplit/>
          <w:trHeight w:hRule="atLeast"/>
        </w:trPr>
        <w:tc>
          <w:tcPr>
            <w:tcW w:type="dxa" w:w="122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Analytic</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Remaining 36 variables</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5"/>
              </w:rPr>
              <w:t>0</w:t>
            </w:r>
          </w:p>
        </w:tc>
        <w:tc>
          <w:tcPr>
            <w:tcW w:type="dxa" w:w="1296"/>
            <w:vAlign w:val="top"/>
            <w:tcMar>
              <w:top w:w="65" w:type="dxa"/>
              <w:start w:w="65" w:type="dxa"/>
              <w:bottom w:w="65" w:type="dxa"/>
              <w:end w:w="65" w:type="dxa"/>
            </w:tcMar>
            <w:shd w:fill="F7FAFC"/>
          </w:tcPr>
          <w:p>
            <w:pPr>
              <w:spacing w:after="0" w:line="240" w:lineRule="auto"/>
            </w:pPr>
            <w:r>
              <w:rPr>
                <w:rFonts w:ascii="Arial" w:hAnsi="Arial" w:eastAsia="Arial"/>
                <w:color w:val="202B36"/>
                <w:sz w:val="15"/>
              </w:rPr>
              <w:t>0.000%</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5"/>
              </w:rPr>
              <w:t>Complete after eligibility filters</w:t>
            </w:r>
          </w:p>
        </w:tc>
      </w:tr>
    </w:tbl>
    <w:p>
      <w:pPr>
        <w:spacing w:after="0"/>
      </w:pPr>
    </w:p>
    <w:p>
      <w:pPr>
        <w:pStyle w:val="ListBullet"/>
        <w:spacing w:after="60"/>
        <w:ind w:left="317" w:hanging="173"/>
      </w:pPr>
      <w:r>
        <w:rPr>
          <w:rFonts w:ascii="Arial" w:hAnsi="Arial" w:eastAsia="Arial"/>
          <w:color w:val="202B36"/>
          <w:sz w:val="18"/>
        </w:rPr>
        <w:t>Null handling is rule-based. D1 rows without a session date cannot be linked and are excluded before cohort construction.</w:t>
      </w:r>
    </w:p>
    <w:p>
      <w:pPr>
        <w:pStyle w:val="ListBullet"/>
        <w:spacing w:after="60"/>
        <w:ind w:left="317" w:hanging="173"/>
      </w:pPr>
      <w:r>
        <w:rPr>
          <w:rFonts w:ascii="Arial" w:hAnsi="Arial" w:eastAsia="Arial"/>
          <w:color w:val="202B36"/>
          <w:sz w:val="18"/>
        </w:rPr>
        <w:t>History-feature missingness is structural, not evidence of poor source quality: the first eligible session has no earlier eligible session.</w:t>
      </w:r>
    </w:p>
    <w:p>
      <w:pPr>
        <w:pStyle w:val="ListBullet"/>
        <w:spacing w:after="60"/>
        <w:ind w:left="317" w:hanging="173"/>
      </w:pPr>
      <w:r>
        <w:rPr>
          <w:rFonts w:ascii="Arial" w:hAnsi="Arial" w:eastAsia="Arial"/>
          <w:color w:val="202B36"/>
          <w:sz w:val="18"/>
        </w:rPr>
        <w:t>Dialysis-vintage missingness remains explicit and will be handled inside the modelling pipeline, fitted on training data only.</w:t>
      </w:r>
    </w:p>
    <w:p>
      <w:pPr>
        <w:pStyle w:val="ListBullet"/>
        <w:spacing w:after="60"/>
        <w:ind w:left="317" w:hanging="173"/>
      </w:pPr>
      <w:r>
        <w:rPr>
          <w:rFonts w:ascii="Arial" w:hAnsi="Arial" w:eastAsia="Arial"/>
          <w:color w:val="202B36"/>
          <w:sz w:val="18"/>
        </w:rPr>
        <w:t>No complete-case deletion is applied merely because a predictor is missing; the modelling stage will compare transparent imputation and missing-indicator strategies.</w:t>
      </w:r>
    </w:p>
    <w:p>
      <w:pPr>
        <w:pStyle w:val="Heading2"/>
      </w:pPr>
      <w:r>
        <w:t>Duplicates and Referential Integrity</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3389"/>
        <w:gridCol w:w="3389"/>
        <w:gridCol w:w="3389"/>
      </w:tblGrid>
      <w:tr>
        <w:trPr>
          <w:tblHeader w:val="true"/>
          <w:cantSplit/>
        </w:trPr>
        <w:tc>
          <w:tcPr>
            <w:tcW w:type="dxa" w:w="1512"/>
            <w:shd w:fill="17324D"/>
            <w:tcMar>
              <w:top w:w="80" w:type="dxa"/>
              <w:start w:w="70" w:type="dxa"/>
              <w:bottom w:w="80" w:type="dxa"/>
              <w:end w:w="70" w:type="dxa"/>
            </w:tcMar>
            <w:vAlign w:val="center"/>
          </w:tcPr>
          <w:p>
            <w:pPr>
              <w:spacing w:after="0"/>
            </w:pPr>
            <w:r>
              <w:rPr>
                <w:rFonts w:ascii="Arial" w:hAnsi="Arial" w:eastAsia="Arial"/>
                <w:b/>
                <w:color w:val="FFFFFF"/>
                <w:sz w:val="16"/>
              </w:rPr>
              <w:t>Table</w:t>
            </w:r>
          </w:p>
        </w:tc>
        <w:tc>
          <w:tcPr>
            <w:tcW w:type="dxa" w:w="3672"/>
            <w:shd w:fill="17324D"/>
            <w:tcMar>
              <w:top w:w="80" w:type="dxa"/>
              <w:start w:w="70" w:type="dxa"/>
              <w:bottom w:w="80" w:type="dxa"/>
              <w:end w:w="70" w:type="dxa"/>
            </w:tcMar>
            <w:vAlign w:val="center"/>
          </w:tcPr>
          <w:p>
            <w:pPr>
              <w:spacing w:after="0"/>
            </w:pPr>
            <w:r>
              <w:rPr>
                <w:rFonts w:ascii="Arial" w:hAnsi="Arial" w:eastAsia="Arial"/>
                <w:b/>
                <w:color w:val="FFFFFF"/>
                <w:sz w:val="16"/>
              </w:rPr>
              <w:t>Finding</w:t>
            </w:r>
          </w:p>
        </w:tc>
        <w:tc>
          <w:tcPr>
            <w:tcW w:type="dxa" w:w="4464"/>
            <w:shd w:fill="17324D"/>
            <w:tcMar>
              <w:top w:w="80" w:type="dxa"/>
              <w:start w:w="70" w:type="dxa"/>
              <w:bottom w:w="80" w:type="dxa"/>
              <w:end w:w="70" w:type="dxa"/>
            </w:tcMar>
            <w:vAlign w:val="center"/>
          </w:tcPr>
          <w:p>
            <w:pPr>
              <w:spacing w:after="0"/>
            </w:pPr>
            <w:r>
              <w:rPr>
                <w:rFonts w:ascii="Arial" w:hAnsi="Arial" w:eastAsia="Arial"/>
                <w:b/>
                <w:color w:val="FFFFFF"/>
                <w:sz w:val="16"/>
              </w:rPr>
              <w:t>Disposition</w:t>
            </w:r>
          </w:p>
        </w:tc>
      </w:tr>
      <w:tr>
        <w:trPr>
          <w:cantSplit/>
          <w:trHeight w:hRule="atLeast"/>
        </w:trPr>
        <w:tc>
          <w:tcPr>
            <w:tcW w:type="dxa" w:w="1512"/>
            <w:vAlign w:val="top"/>
            <w:tcMar>
              <w:top w:w="65" w:type="dxa"/>
              <w:start w:w="65" w:type="dxa"/>
              <w:bottom w:w="65" w:type="dxa"/>
              <w:end w:w="65" w:type="dxa"/>
            </w:tcMar>
          </w:tcPr>
          <w:p>
            <w:pPr>
              <w:spacing w:after="0" w:line="240" w:lineRule="auto"/>
            </w:pPr>
            <w:r>
              <w:rPr>
                <w:rFonts w:ascii="Arial" w:hAnsi="Arial" w:eastAsia="Arial"/>
                <w:color w:val="202B36"/>
                <w:sz w:val="16"/>
              </w:rPr>
              <w:t>Idp</w:t>
            </w:r>
          </w:p>
        </w:tc>
        <w:tc>
          <w:tcPr>
            <w:tcW w:type="dxa" w:w="3672"/>
            <w:vAlign w:val="top"/>
            <w:tcMar>
              <w:top w:w="65" w:type="dxa"/>
              <w:start w:w="65" w:type="dxa"/>
              <w:bottom w:w="65" w:type="dxa"/>
              <w:end w:w="65" w:type="dxa"/>
            </w:tcMar>
          </w:tcPr>
          <w:p>
            <w:pPr>
              <w:spacing w:after="0" w:line="240" w:lineRule="auto"/>
            </w:pPr>
            <w:r>
              <w:rPr>
                <w:rFonts w:ascii="Arial" w:hAnsi="Arial" w:eastAsia="Arial"/>
                <w:color w:val="202B36"/>
                <w:sz w:val="16"/>
              </w:rPr>
              <w:t>0 exact duplicates; 0 duplicate patient IDs</w:t>
            </w:r>
          </w:p>
        </w:tc>
        <w:tc>
          <w:tcPr>
            <w:tcW w:type="dxa" w:w="4464"/>
            <w:vAlign w:val="top"/>
            <w:tcMar>
              <w:top w:w="65" w:type="dxa"/>
              <w:start w:w="65" w:type="dxa"/>
              <w:bottom w:w="65" w:type="dxa"/>
              <w:end w:w="65" w:type="dxa"/>
            </w:tcMar>
          </w:tcPr>
          <w:p>
            <w:pPr>
              <w:spacing w:after="0" w:line="240" w:lineRule="auto"/>
            </w:pPr>
            <w:r>
              <w:rPr>
                <w:rFonts w:ascii="Arial" w:hAnsi="Arial" w:eastAsia="Arial"/>
                <w:color w:val="202B36"/>
                <w:sz w:val="16"/>
              </w:rPr>
              <w:t>Patient key is unique</w:t>
            </w:r>
          </w:p>
        </w:tc>
      </w:tr>
      <w:tr>
        <w:trPr>
          <w:cantSplit/>
          <w:trHeight w:hRule="atLeast"/>
        </w:trPr>
        <w:tc>
          <w:tcPr>
            <w:tcW w:type="dxa" w:w="1512"/>
            <w:vAlign w:val="top"/>
            <w:tcMar>
              <w:top w:w="65" w:type="dxa"/>
              <w:start w:w="65" w:type="dxa"/>
              <w:bottom w:w="65" w:type="dxa"/>
              <w:end w:w="65" w:type="dxa"/>
            </w:tcMar>
            <w:shd w:fill="F7FAFC"/>
          </w:tcPr>
          <w:p>
            <w:pPr>
              <w:spacing w:after="0" w:line="240" w:lineRule="auto"/>
            </w:pPr>
            <w:r>
              <w:rPr>
                <w:rFonts w:ascii="Arial" w:hAnsi="Arial" w:eastAsia="Arial"/>
                <w:color w:val="202B36"/>
                <w:sz w:val="16"/>
              </w:rPr>
              <w:t>Hemrec D1</w:t>
            </w:r>
          </w:p>
        </w:tc>
        <w:tc>
          <w:tcPr>
            <w:tcW w:type="dxa" w:w="3672"/>
            <w:vAlign w:val="top"/>
            <w:tcMar>
              <w:top w:w="65" w:type="dxa"/>
              <w:start w:w="65" w:type="dxa"/>
              <w:bottom w:w="65" w:type="dxa"/>
              <w:end w:w="65" w:type="dxa"/>
            </w:tcMar>
            <w:shd w:fill="F7FAFC"/>
          </w:tcPr>
          <w:p>
            <w:pPr>
              <w:spacing w:after="0" w:line="240" w:lineRule="auto"/>
            </w:pPr>
            <w:r>
              <w:rPr>
                <w:rFonts w:ascii="Arial" w:hAnsi="Arial" w:eastAsia="Arial"/>
                <w:color w:val="202B36"/>
                <w:sz w:val="16"/>
              </w:rPr>
              <w:t>5 exact duplicates; 9 duplicate patient-date rows</w:t>
            </w:r>
          </w:p>
        </w:tc>
        <w:tc>
          <w:tcPr>
            <w:tcW w:type="dxa" w:w="4464"/>
            <w:vAlign w:val="top"/>
            <w:tcMar>
              <w:top w:w="65" w:type="dxa"/>
              <w:start w:w="65" w:type="dxa"/>
              <w:bottom w:w="65" w:type="dxa"/>
              <w:end w:w="65" w:type="dxa"/>
            </w:tcMar>
            <w:shd w:fill="F7FAFC"/>
          </w:tcPr>
          <w:p>
            <w:pPr>
              <w:spacing w:after="0" w:line="240" w:lineRule="auto"/>
            </w:pPr>
            <w:r>
              <w:rPr>
                <w:rFonts w:ascii="Arial" w:hAnsi="Arial" w:eastAsia="Arial"/>
                <w:color w:val="202B36"/>
                <w:sz w:val="16"/>
              </w:rPr>
              <w:t>Stable order retained and first row kept for one session per patient-date</w:t>
            </w:r>
          </w:p>
        </w:tc>
      </w:tr>
      <w:tr>
        <w:trPr>
          <w:cantSplit/>
          <w:trHeight w:hRule="atLeast"/>
        </w:trPr>
        <w:tc>
          <w:tcPr>
            <w:tcW w:type="dxa" w:w="1512"/>
            <w:vAlign w:val="top"/>
            <w:tcMar>
              <w:top w:w="65" w:type="dxa"/>
              <w:start w:w="65" w:type="dxa"/>
              <w:bottom w:w="65" w:type="dxa"/>
              <w:end w:w="65" w:type="dxa"/>
            </w:tcMar>
          </w:tcPr>
          <w:p>
            <w:pPr>
              <w:spacing w:after="0" w:line="240" w:lineRule="auto"/>
            </w:pPr>
            <w:r>
              <w:rPr>
                <w:rFonts w:ascii="Arial" w:hAnsi="Arial" w:eastAsia="Arial"/>
                <w:color w:val="202B36"/>
                <w:sz w:val="16"/>
              </w:rPr>
              <w:t>Hemrec VIP</w:t>
            </w:r>
          </w:p>
        </w:tc>
        <w:tc>
          <w:tcPr>
            <w:tcW w:type="dxa" w:w="3672"/>
            <w:vAlign w:val="top"/>
            <w:tcMar>
              <w:top w:w="65" w:type="dxa"/>
              <w:start w:w="65" w:type="dxa"/>
              <w:bottom w:w="65" w:type="dxa"/>
              <w:end w:w="65" w:type="dxa"/>
            </w:tcMar>
          </w:tcPr>
          <w:p>
            <w:pPr>
              <w:spacing w:after="0" w:line="240" w:lineRule="auto"/>
            </w:pPr>
            <w:r>
              <w:rPr>
                <w:rFonts w:ascii="Arial" w:hAnsi="Arial" w:eastAsia="Arial"/>
                <w:color w:val="202B36"/>
                <w:sz w:val="16"/>
              </w:rPr>
              <w:t>0 exact duplicates after linkage and validity screening</w:t>
            </w:r>
          </w:p>
        </w:tc>
        <w:tc>
          <w:tcPr>
            <w:tcW w:type="dxa" w:w="4464"/>
            <w:vAlign w:val="top"/>
            <w:tcMar>
              <w:top w:w="65" w:type="dxa"/>
              <w:start w:w="65" w:type="dxa"/>
              <w:bottom w:w="65" w:type="dxa"/>
              <w:end w:w="65" w:type="dxa"/>
            </w:tcMar>
          </w:tcPr>
          <w:p>
            <w:pPr>
              <w:spacing w:after="0" w:line="240" w:lineRule="auto"/>
            </w:pPr>
            <w:r>
              <w:rPr>
                <w:rFonts w:ascii="Arial" w:hAnsi="Arial" w:eastAsia="Arial"/>
                <w:color w:val="202B36"/>
                <w:sz w:val="16"/>
              </w:rPr>
              <w:t>No linked analytic monitor row removed as an exact duplicate</w:t>
            </w:r>
          </w:p>
        </w:tc>
      </w:tr>
      <w:tr>
        <w:trPr>
          <w:cantSplit/>
          <w:trHeight w:hRule="atLeast"/>
        </w:trPr>
        <w:tc>
          <w:tcPr>
            <w:tcW w:type="dxa" w:w="1512"/>
            <w:vAlign w:val="top"/>
            <w:tcMar>
              <w:top w:w="65" w:type="dxa"/>
              <w:start w:w="65" w:type="dxa"/>
              <w:bottom w:w="65" w:type="dxa"/>
              <w:end w:w="65" w:type="dxa"/>
            </w:tcMar>
            <w:shd w:fill="F7FAFC"/>
          </w:tcPr>
          <w:p>
            <w:pPr>
              <w:spacing w:after="0" w:line="240" w:lineRule="auto"/>
            </w:pPr>
            <w:r>
              <w:rPr>
                <w:rFonts w:ascii="Arial" w:hAnsi="Arial" w:eastAsia="Arial"/>
                <w:color w:val="202B36"/>
                <w:sz w:val="16"/>
              </w:rPr>
              <w:t>Analytic table</w:t>
            </w:r>
          </w:p>
        </w:tc>
        <w:tc>
          <w:tcPr>
            <w:tcW w:type="dxa" w:w="3672"/>
            <w:vAlign w:val="top"/>
            <w:tcMar>
              <w:top w:w="65" w:type="dxa"/>
              <w:start w:w="65" w:type="dxa"/>
              <w:bottom w:w="65" w:type="dxa"/>
              <w:end w:w="65" w:type="dxa"/>
            </w:tcMar>
            <w:shd w:fill="F7FAFC"/>
          </w:tcPr>
          <w:p>
            <w:pPr>
              <w:spacing w:after="0" w:line="240" w:lineRule="auto"/>
            </w:pPr>
            <w:r>
              <w:rPr>
                <w:rFonts w:ascii="Arial" w:hAnsi="Arial" w:eastAsia="Arial"/>
                <w:color w:val="202B36"/>
                <w:sz w:val="16"/>
              </w:rPr>
              <w:t>One row per eligible patient-date</w:t>
            </w:r>
          </w:p>
        </w:tc>
        <w:tc>
          <w:tcPr>
            <w:tcW w:type="dxa" w:w="4464"/>
            <w:vAlign w:val="top"/>
            <w:tcMar>
              <w:top w:w="65" w:type="dxa"/>
              <w:start w:w="65" w:type="dxa"/>
              <w:bottom w:w="65" w:type="dxa"/>
              <w:end w:w="65" w:type="dxa"/>
            </w:tcMar>
            <w:shd w:fill="F7FAFC"/>
          </w:tcPr>
          <w:p>
            <w:pPr>
              <w:spacing w:after="0" w:line="240" w:lineRule="auto"/>
            </w:pPr>
            <w:r>
              <w:rPr>
                <w:rFonts w:ascii="Arial" w:hAnsi="Arial" w:eastAsia="Arial"/>
                <w:color w:val="202B36"/>
                <w:sz w:val="16"/>
              </w:rPr>
              <w:t>Patient-date is unique by construction</w:t>
            </w:r>
          </w:p>
        </w:tc>
      </w:tr>
    </w:tbl>
    <w:p>
      <w:pPr>
        <w:spacing w:after="0"/>
      </w:pPr>
    </w:p>
    <w:p>
      <w:pPr>
        <w:pStyle w:val="Heading1"/>
      </w:pPr>
      <w:r>
        <w:t>Outliers and Plausibility</w:t>
      </w:r>
    </w:p>
    <w:p>
      <w:pPr>
        <w:spacing w:after="100"/>
      </w:pPr>
      <w:r>
        <w:rPr>
          <w:rFonts w:ascii="Arial" w:hAnsi="Arial" w:eastAsia="Arial"/>
          <w:i w:val="0"/>
          <w:color w:val="202B36"/>
        </w:rPr>
        <w:t>Outlier detection separates validity from rarity. Clearly unusable values are screened through predefined physiological and operational bounds before index selection. The interquartile-range rule is then used only to describe unusual but potentially valid observations; it is not used as an automatic deletion rule. This protects clinically important extremes and prevents data-dependent trimming from silently changing the target population.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166"/>
      </w:tblGrid>
      <w:tr>
        <w:trPr>
          <w:cantSplit/>
        </w:trPr>
        <w:tc>
          <w:tcPr>
            <w:tcW w:type="dxa" w:w="10166"/>
            <w:tcMar>
              <w:top w:w="0" w:type="dxa"/>
              <w:start w:w="0" w:type="dxa"/>
              <w:bottom w:w="0" w:type="dxa"/>
              <w:end w:w="0" w:type="dxa"/>
            </w:tcMar>
          </w:tcPr>
          <w:p>
            <w:pPr>
              <w:spacing w:after="20"/>
              <w:jc w:val="center"/>
            </w:pPr>
            <w:r>
              <w:drawing>
                <wp:inline xmlns:a="http://schemas.openxmlformats.org/drawingml/2006/main" xmlns:pic="http://schemas.openxmlformats.org/drawingml/2006/picture">
                  <wp:extent cx="5715000" cy="3421026"/>
                  <wp:docPr id="4" name="Picture 4"/>
                  <wp:cNvGraphicFramePr>
                    <a:graphicFrameLocks noChangeAspect="1"/>
                  </wp:cNvGraphicFramePr>
                  <a:graphic>
                    <a:graphicData uri="http://schemas.openxmlformats.org/drawingml/2006/picture">
                      <pic:pic>
                        <pic:nvPicPr>
                          <pic:cNvPr id="0" name="outlier_summary.png"/>
                          <pic:cNvPicPr/>
                        </pic:nvPicPr>
                        <pic:blipFill>
                          <a:blip r:embed="rId12"/>
                          <a:stretch>
                            <a:fillRect/>
                          </a:stretch>
                        </pic:blipFill>
                        <pic:spPr>
                          <a:xfrm>
                            <a:off x="0" y="0"/>
                            <a:ext cx="5715000" cy="3421026"/>
                          </a:xfrm>
                          <a:prstGeom prst="rect"/>
                        </pic:spPr>
                      </pic:pic>
                    </a:graphicData>
                  </a:graphic>
                </wp:inline>
              </w:drawing>
            </w:r>
          </w:p>
          <w:p>
            <w:pPr>
              <w:pStyle w:val="Caption"/>
              <w:jc w:val="center"/>
            </w:pPr>
            <w:r>
              <w:rPr>
                <w:rFonts w:ascii="Arial" w:hAnsi="Arial" w:eastAsia="Arial"/>
                <w:i/>
                <w:color w:val="596875"/>
                <w:sz w:val="16"/>
              </w:rPr>
              <w:t>Figure 4. IQR flags among candidate predictors. High flag rates can reflect narrow central distributions rather than invalid records.</w:t>
            </w:r>
          </w:p>
        </w:tc>
      </w:tr>
    </w:tbl>
    <w:p>
      <w:pPr>
        <w:spacing w:after="0"/>
      </w:pP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1694"/>
        <w:gridCol w:w="1694"/>
        <w:gridCol w:w="1694"/>
        <w:gridCol w:w="1694"/>
        <w:gridCol w:w="1694"/>
        <w:gridCol w:w="1694"/>
      </w:tblGrid>
      <w:tr>
        <w:trPr>
          <w:tblHeader w:val="true"/>
          <w:cantSplit/>
        </w:trPr>
        <w:tc>
          <w:tcPr>
            <w:tcW w:type="dxa" w:w="3384"/>
            <w:shd w:fill="17324D"/>
            <w:tcMar>
              <w:top w:w="80" w:type="dxa"/>
              <w:start w:w="70" w:type="dxa"/>
              <w:bottom w:w="80" w:type="dxa"/>
              <w:end w:w="70" w:type="dxa"/>
            </w:tcMar>
            <w:vAlign w:val="center"/>
          </w:tcPr>
          <w:p>
            <w:pPr>
              <w:spacing w:after="0"/>
            </w:pPr>
            <w:r>
              <w:rPr>
                <w:rFonts w:ascii="Arial" w:hAnsi="Arial" w:eastAsia="Arial"/>
                <w:b/>
                <w:color w:val="FFFFFF"/>
                <w:sz w:val="15"/>
              </w:rPr>
              <w:t>Feature</w:t>
            </w:r>
          </w:p>
        </w:tc>
        <w:tc>
          <w:tcPr>
            <w:tcW w:type="dxa" w:w="1080"/>
            <w:shd w:fill="17324D"/>
            <w:tcMar>
              <w:top w:w="80" w:type="dxa"/>
              <w:start w:w="70" w:type="dxa"/>
              <w:bottom w:w="80" w:type="dxa"/>
              <w:end w:w="70" w:type="dxa"/>
            </w:tcMar>
            <w:vAlign w:val="center"/>
          </w:tcPr>
          <w:p>
            <w:pPr>
              <w:spacing w:after="0"/>
            </w:pPr>
            <w:r>
              <w:rPr>
                <w:rFonts w:ascii="Arial" w:hAnsi="Arial" w:eastAsia="Arial"/>
                <w:b/>
                <w:color w:val="FFFFFF"/>
                <w:sz w:val="15"/>
              </w:rPr>
              <w:t>Min</w:t>
            </w:r>
          </w:p>
        </w:tc>
        <w:tc>
          <w:tcPr>
            <w:tcW w:type="dxa" w:w="1152"/>
            <w:shd w:fill="17324D"/>
            <w:tcMar>
              <w:top w:w="80" w:type="dxa"/>
              <w:start w:w="70" w:type="dxa"/>
              <w:bottom w:w="80" w:type="dxa"/>
              <w:end w:w="70" w:type="dxa"/>
            </w:tcMar>
            <w:vAlign w:val="center"/>
          </w:tcPr>
          <w:p>
            <w:pPr>
              <w:spacing w:after="0"/>
            </w:pPr>
            <w:r>
              <w:rPr>
                <w:rFonts w:ascii="Arial" w:hAnsi="Arial" w:eastAsia="Arial"/>
                <w:b/>
                <w:color w:val="FFFFFF"/>
                <w:sz w:val="15"/>
              </w:rPr>
              <w:t>Median</w:t>
            </w:r>
          </w:p>
        </w:tc>
        <w:tc>
          <w:tcPr>
            <w:tcW w:type="dxa" w:w="1152"/>
            <w:shd w:fill="17324D"/>
            <w:tcMar>
              <w:top w:w="80" w:type="dxa"/>
              <w:start w:w="70" w:type="dxa"/>
              <w:bottom w:w="80" w:type="dxa"/>
              <w:end w:w="70" w:type="dxa"/>
            </w:tcMar>
            <w:vAlign w:val="center"/>
          </w:tcPr>
          <w:p>
            <w:pPr>
              <w:spacing w:after="0"/>
            </w:pPr>
            <w:r>
              <w:rPr>
                <w:rFonts w:ascii="Arial" w:hAnsi="Arial" w:eastAsia="Arial"/>
                <w:b/>
                <w:color w:val="FFFFFF"/>
                <w:sz w:val="15"/>
              </w:rPr>
              <w:t>Max</w:t>
            </w:r>
          </w:p>
        </w:tc>
        <w:tc>
          <w:tcPr>
            <w:tcW w:type="dxa" w:w="1368"/>
            <w:shd w:fill="17324D"/>
            <w:tcMar>
              <w:top w:w="80" w:type="dxa"/>
              <w:start w:w="70" w:type="dxa"/>
              <w:bottom w:w="80" w:type="dxa"/>
              <w:end w:w="70" w:type="dxa"/>
            </w:tcMar>
            <w:vAlign w:val="center"/>
          </w:tcPr>
          <w:p>
            <w:pPr>
              <w:spacing w:after="0"/>
            </w:pPr>
            <w:r>
              <w:rPr>
                <w:rFonts w:ascii="Arial" w:hAnsi="Arial" w:eastAsia="Arial"/>
                <w:b/>
                <w:color w:val="FFFFFF"/>
                <w:sz w:val="15"/>
              </w:rPr>
              <w:t>IQR flags</w:t>
            </w:r>
          </w:p>
        </w:tc>
        <w:tc>
          <w:tcPr>
            <w:tcW w:type="dxa" w:w="1296"/>
            <w:shd w:fill="17324D"/>
            <w:tcMar>
              <w:top w:w="80" w:type="dxa"/>
              <w:start w:w="70" w:type="dxa"/>
              <w:bottom w:w="80" w:type="dxa"/>
              <w:end w:w="70" w:type="dxa"/>
            </w:tcMar>
            <w:vAlign w:val="center"/>
          </w:tcPr>
          <w:p>
            <w:pPr>
              <w:spacing w:after="0"/>
            </w:pPr>
            <w:r>
              <w:rPr>
                <w:rFonts w:ascii="Arial" w:hAnsi="Arial" w:eastAsia="Arial"/>
                <w:b/>
                <w:color w:val="FFFFFF"/>
                <w:sz w:val="15"/>
              </w:rPr>
              <w:t>Flag rate</w:t>
            </w:r>
          </w:p>
        </w:tc>
      </w:tr>
      <w:tr>
        <w:trPr>
          <w:cantSplit/>
          <w:trHeight w:hRule="atLeast"/>
        </w:trPr>
        <w:tc>
          <w:tcPr>
            <w:tcW w:type="dxa" w:w="3384"/>
            <w:vAlign w:val="top"/>
            <w:tcMar>
              <w:top w:w="65" w:type="dxa"/>
              <w:start w:w="65" w:type="dxa"/>
              <w:bottom w:w="65" w:type="dxa"/>
              <w:end w:w="65" w:type="dxa"/>
            </w:tcMar>
          </w:tcPr>
          <w:p>
            <w:pPr>
              <w:spacing w:after="0" w:line="240" w:lineRule="auto"/>
            </w:pPr>
            <w:r>
              <w:rPr>
                <w:rFonts w:ascii="Arial" w:hAnsi="Arial" w:eastAsia="Arial"/>
                <w:color w:val="202B36"/>
                <w:sz w:val="15"/>
              </w:rPr>
              <w:t>initial_conductivity_ms_cm</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5"/>
              </w:rPr>
              <w:t>10.00</w:t>
            </w:r>
          </w:p>
        </w:tc>
        <w:tc>
          <w:tcPr>
            <w:tcW w:type="dxa" w:w="1152"/>
            <w:vAlign w:val="top"/>
            <w:tcMar>
              <w:top w:w="65" w:type="dxa"/>
              <w:start w:w="65" w:type="dxa"/>
              <w:bottom w:w="65" w:type="dxa"/>
              <w:end w:w="65" w:type="dxa"/>
            </w:tcMar>
          </w:tcPr>
          <w:p>
            <w:pPr>
              <w:spacing w:after="0" w:line="240" w:lineRule="auto"/>
            </w:pPr>
            <w:r>
              <w:rPr>
                <w:rFonts w:ascii="Arial" w:hAnsi="Arial" w:eastAsia="Arial"/>
                <w:color w:val="202B36"/>
                <w:sz w:val="15"/>
              </w:rPr>
              <w:t>14.00</w:t>
            </w:r>
          </w:p>
        </w:tc>
        <w:tc>
          <w:tcPr>
            <w:tcW w:type="dxa" w:w="1152"/>
            <w:vAlign w:val="top"/>
            <w:tcMar>
              <w:top w:w="65" w:type="dxa"/>
              <w:start w:w="65" w:type="dxa"/>
              <w:bottom w:w="65" w:type="dxa"/>
              <w:end w:w="65" w:type="dxa"/>
            </w:tcMar>
          </w:tcPr>
          <w:p>
            <w:pPr>
              <w:spacing w:after="0" w:line="240" w:lineRule="auto"/>
            </w:pPr>
            <w:r>
              <w:rPr>
                <w:rFonts w:ascii="Arial" w:hAnsi="Arial" w:eastAsia="Arial"/>
                <w:color w:val="202B36"/>
                <w:sz w:val="15"/>
              </w:rPr>
              <w:t>20.00</w:t>
            </w:r>
          </w:p>
        </w:tc>
        <w:tc>
          <w:tcPr>
            <w:tcW w:type="dxa" w:w="1368"/>
            <w:vAlign w:val="top"/>
            <w:tcMar>
              <w:top w:w="65" w:type="dxa"/>
              <w:start w:w="65" w:type="dxa"/>
              <w:bottom w:w="65" w:type="dxa"/>
              <w:end w:w="65" w:type="dxa"/>
            </w:tcMar>
          </w:tcPr>
          <w:p>
            <w:pPr>
              <w:spacing w:after="0" w:line="240" w:lineRule="auto"/>
            </w:pPr>
            <w:r>
              <w:rPr>
                <w:rFonts w:ascii="Arial" w:hAnsi="Arial" w:eastAsia="Arial"/>
                <w:color w:val="202B36"/>
                <w:sz w:val="15"/>
              </w:rPr>
              <w:t>13,813</w:t>
            </w:r>
          </w:p>
        </w:tc>
        <w:tc>
          <w:tcPr>
            <w:tcW w:type="dxa" w:w="1296"/>
            <w:vAlign w:val="top"/>
            <w:tcMar>
              <w:top w:w="65" w:type="dxa"/>
              <w:start w:w="65" w:type="dxa"/>
              <w:bottom w:w="65" w:type="dxa"/>
              <w:end w:w="65" w:type="dxa"/>
            </w:tcMar>
          </w:tcPr>
          <w:p>
            <w:pPr>
              <w:spacing w:after="0" w:line="240" w:lineRule="auto"/>
            </w:pPr>
            <w:r>
              <w:rPr>
                <w:rFonts w:ascii="Arial" w:hAnsi="Arial" w:eastAsia="Arial"/>
                <w:color w:val="202B36"/>
                <w:sz w:val="15"/>
              </w:rPr>
              <w:t>12.94%</w:t>
            </w:r>
          </w:p>
        </w:tc>
      </w:tr>
      <w:tr>
        <w:trPr>
          <w:cantSplit/>
          <w:trHeight w:hRule="atLeast"/>
        </w:trPr>
        <w:tc>
          <w:tcPr>
            <w:tcW w:type="dxa" w:w="338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prior_idh_rate</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5"/>
              </w:rPr>
              <w:t>0.00</w:t>
            </w:r>
          </w:p>
        </w:tc>
        <w:tc>
          <w:tcPr>
            <w:tcW w:type="dxa" w:w="115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0.04</w:t>
            </w:r>
          </w:p>
        </w:tc>
        <w:tc>
          <w:tcPr>
            <w:tcW w:type="dxa" w:w="115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1.00</w:t>
            </w:r>
          </w:p>
        </w:tc>
        <w:tc>
          <w:tcPr>
            <w:tcW w:type="dxa" w:w="1368"/>
            <w:vAlign w:val="top"/>
            <w:tcMar>
              <w:top w:w="65" w:type="dxa"/>
              <w:start w:w="65" w:type="dxa"/>
              <w:bottom w:w="65" w:type="dxa"/>
              <w:end w:w="65" w:type="dxa"/>
            </w:tcMar>
            <w:shd w:fill="F7FAFC"/>
          </w:tcPr>
          <w:p>
            <w:pPr>
              <w:spacing w:after="0" w:line="240" w:lineRule="auto"/>
            </w:pPr>
            <w:r>
              <w:rPr>
                <w:rFonts w:ascii="Arial" w:hAnsi="Arial" w:eastAsia="Arial"/>
                <w:color w:val="202B36"/>
                <w:sz w:val="15"/>
              </w:rPr>
              <w:t>8,275</w:t>
            </w:r>
          </w:p>
        </w:tc>
        <w:tc>
          <w:tcPr>
            <w:tcW w:type="dxa" w:w="1296"/>
            <w:vAlign w:val="top"/>
            <w:tcMar>
              <w:top w:w="65" w:type="dxa"/>
              <w:start w:w="65" w:type="dxa"/>
              <w:bottom w:w="65" w:type="dxa"/>
              <w:end w:w="65" w:type="dxa"/>
            </w:tcMar>
            <w:shd w:fill="F7FAFC"/>
          </w:tcPr>
          <w:p>
            <w:pPr>
              <w:spacing w:after="0" w:line="240" w:lineRule="auto"/>
            </w:pPr>
            <w:r>
              <w:rPr>
                <w:rFonts w:ascii="Arial" w:hAnsi="Arial" w:eastAsia="Arial"/>
                <w:color w:val="202B36"/>
                <w:sz w:val="15"/>
              </w:rPr>
              <w:t>7.81%</w:t>
            </w:r>
          </w:p>
        </w:tc>
      </w:tr>
      <w:tr>
        <w:trPr>
          <w:cantSplit/>
          <w:trHeight w:hRule="atLeast"/>
        </w:trPr>
        <w:tc>
          <w:tcPr>
            <w:tcW w:type="dxa" w:w="3384"/>
            <w:vAlign w:val="top"/>
            <w:tcMar>
              <w:top w:w="65" w:type="dxa"/>
              <w:start w:w="65" w:type="dxa"/>
              <w:bottom w:w="65" w:type="dxa"/>
              <w:end w:w="65" w:type="dxa"/>
            </w:tcMar>
          </w:tcPr>
          <w:p>
            <w:pPr>
              <w:spacing w:after="0" w:line="240" w:lineRule="auto"/>
            </w:pPr>
            <w:r>
              <w:rPr>
                <w:rFonts w:ascii="Arial" w:hAnsi="Arial" w:eastAsia="Arial"/>
                <w:color w:val="202B36"/>
                <w:sz w:val="15"/>
              </w:rPr>
              <w:t>fluid_excess_pct</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5"/>
              </w:rPr>
              <w:t>-28.74</w:t>
            </w:r>
          </w:p>
        </w:tc>
        <w:tc>
          <w:tcPr>
            <w:tcW w:type="dxa" w:w="1152"/>
            <w:vAlign w:val="top"/>
            <w:tcMar>
              <w:top w:w="65" w:type="dxa"/>
              <w:start w:w="65" w:type="dxa"/>
              <w:bottom w:w="65" w:type="dxa"/>
              <w:end w:w="65" w:type="dxa"/>
            </w:tcMar>
          </w:tcPr>
          <w:p>
            <w:pPr>
              <w:spacing w:after="0" w:line="240" w:lineRule="auto"/>
            </w:pPr>
            <w:r>
              <w:rPr>
                <w:rFonts w:ascii="Arial" w:hAnsi="Arial" w:eastAsia="Arial"/>
                <w:color w:val="202B36"/>
                <w:sz w:val="15"/>
              </w:rPr>
              <w:t>3.93</w:t>
            </w:r>
          </w:p>
        </w:tc>
        <w:tc>
          <w:tcPr>
            <w:tcW w:type="dxa" w:w="1152"/>
            <w:vAlign w:val="top"/>
            <w:tcMar>
              <w:top w:w="65" w:type="dxa"/>
              <w:start w:w="65" w:type="dxa"/>
              <w:bottom w:w="65" w:type="dxa"/>
              <w:end w:w="65" w:type="dxa"/>
            </w:tcMar>
          </w:tcPr>
          <w:p>
            <w:pPr>
              <w:spacing w:after="0" w:line="240" w:lineRule="auto"/>
            </w:pPr>
            <w:r>
              <w:rPr>
                <w:rFonts w:ascii="Arial" w:hAnsi="Arial" w:eastAsia="Arial"/>
                <w:color w:val="202B36"/>
                <w:sz w:val="15"/>
              </w:rPr>
              <w:t>64.95</w:t>
            </w:r>
          </w:p>
        </w:tc>
        <w:tc>
          <w:tcPr>
            <w:tcW w:type="dxa" w:w="1368"/>
            <w:vAlign w:val="top"/>
            <w:tcMar>
              <w:top w:w="65" w:type="dxa"/>
              <w:start w:w="65" w:type="dxa"/>
              <w:bottom w:w="65" w:type="dxa"/>
              <w:end w:w="65" w:type="dxa"/>
            </w:tcMar>
          </w:tcPr>
          <w:p>
            <w:pPr>
              <w:spacing w:after="0" w:line="240" w:lineRule="auto"/>
            </w:pPr>
            <w:r>
              <w:rPr>
                <w:rFonts w:ascii="Arial" w:hAnsi="Arial" w:eastAsia="Arial"/>
                <w:color w:val="202B36"/>
                <w:sz w:val="15"/>
              </w:rPr>
              <w:t>3,987</w:t>
            </w:r>
          </w:p>
        </w:tc>
        <w:tc>
          <w:tcPr>
            <w:tcW w:type="dxa" w:w="1296"/>
            <w:vAlign w:val="top"/>
            <w:tcMar>
              <w:top w:w="65" w:type="dxa"/>
              <w:start w:w="65" w:type="dxa"/>
              <w:bottom w:w="65" w:type="dxa"/>
              <w:end w:w="65" w:type="dxa"/>
            </w:tcMar>
          </w:tcPr>
          <w:p>
            <w:pPr>
              <w:spacing w:after="0" w:line="240" w:lineRule="auto"/>
            </w:pPr>
            <w:r>
              <w:rPr>
                <w:rFonts w:ascii="Arial" w:hAnsi="Arial" w:eastAsia="Arial"/>
                <w:color w:val="202B36"/>
                <w:sz w:val="15"/>
              </w:rPr>
              <w:t>3.73%</w:t>
            </w:r>
          </w:p>
        </w:tc>
      </w:tr>
      <w:tr>
        <w:trPr>
          <w:cantSplit/>
          <w:trHeight w:hRule="atLeast"/>
        </w:trPr>
        <w:tc>
          <w:tcPr>
            <w:tcW w:type="dxa" w:w="338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fluid_excess_kg</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5"/>
              </w:rPr>
              <w:t>-23.80</w:t>
            </w:r>
          </w:p>
        </w:tc>
        <w:tc>
          <w:tcPr>
            <w:tcW w:type="dxa" w:w="115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2.20</w:t>
            </w:r>
          </w:p>
        </w:tc>
        <w:tc>
          <w:tcPr>
            <w:tcW w:type="dxa" w:w="115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37.70</w:t>
            </w:r>
          </w:p>
        </w:tc>
        <w:tc>
          <w:tcPr>
            <w:tcW w:type="dxa" w:w="1368"/>
            <w:vAlign w:val="top"/>
            <w:tcMar>
              <w:top w:w="65" w:type="dxa"/>
              <w:start w:w="65" w:type="dxa"/>
              <w:bottom w:w="65" w:type="dxa"/>
              <w:end w:w="65" w:type="dxa"/>
            </w:tcMar>
            <w:shd w:fill="F7FAFC"/>
          </w:tcPr>
          <w:p>
            <w:pPr>
              <w:spacing w:after="0" w:line="240" w:lineRule="auto"/>
            </w:pPr>
            <w:r>
              <w:rPr>
                <w:rFonts w:ascii="Arial" w:hAnsi="Arial" w:eastAsia="Arial"/>
                <w:color w:val="202B36"/>
                <w:sz w:val="15"/>
              </w:rPr>
              <w:t>3,945</w:t>
            </w:r>
          </w:p>
        </w:tc>
        <w:tc>
          <w:tcPr>
            <w:tcW w:type="dxa" w:w="1296"/>
            <w:vAlign w:val="top"/>
            <w:tcMar>
              <w:top w:w="65" w:type="dxa"/>
              <w:start w:w="65" w:type="dxa"/>
              <w:bottom w:w="65" w:type="dxa"/>
              <w:end w:w="65" w:type="dxa"/>
            </w:tcMar>
            <w:shd w:fill="F7FAFC"/>
          </w:tcPr>
          <w:p>
            <w:pPr>
              <w:spacing w:after="0" w:line="240" w:lineRule="auto"/>
            </w:pPr>
            <w:r>
              <w:rPr>
                <w:rFonts w:ascii="Arial" w:hAnsi="Arial" w:eastAsia="Arial"/>
                <w:color w:val="202B36"/>
                <w:sz w:val="15"/>
              </w:rPr>
              <w:t>3.70%</w:t>
            </w:r>
          </w:p>
        </w:tc>
      </w:tr>
      <w:tr>
        <w:trPr>
          <w:cantSplit/>
          <w:trHeight w:hRule="atLeast"/>
        </w:trPr>
        <w:tc>
          <w:tcPr>
            <w:tcW w:type="dxa" w:w="3384"/>
            <w:vAlign w:val="top"/>
            <w:tcMar>
              <w:top w:w="65" w:type="dxa"/>
              <w:start w:w="65" w:type="dxa"/>
              <w:bottom w:w="65" w:type="dxa"/>
              <w:end w:w="65" w:type="dxa"/>
            </w:tcMar>
          </w:tcPr>
          <w:p>
            <w:pPr>
              <w:spacing w:after="0" w:line="240" w:lineRule="auto"/>
            </w:pPr>
            <w:r>
              <w:rPr>
                <w:rFonts w:ascii="Arial" w:hAnsi="Arial" w:eastAsia="Arial"/>
                <w:color w:val="202B36"/>
                <w:sz w:val="15"/>
              </w:rPr>
              <w:t>temperature</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5"/>
              </w:rPr>
              <w:t>35.00</w:t>
            </w:r>
          </w:p>
        </w:tc>
        <w:tc>
          <w:tcPr>
            <w:tcW w:type="dxa" w:w="1152"/>
            <w:vAlign w:val="top"/>
            <w:tcMar>
              <w:top w:w="65" w:type="dxa"/>
              <w:start w:w="65" w:type="dxa"/>
              <w:bottom w:w="65" w:type="dxa"/>
              <w:end w:w="65" w:type="dxa"/>
            </w:tcMar>
          </w:tcPr>
          <w:p>
            <w:pPr>
              <w:spacing w:after="0" w:line="240" w:lineRule="auto"/>
            </w:pPr>
            <w:r>
              <w:rPr>
                <w:rFonts w:ascii="Arial" w:hAnsi="Arial" w:eastAsia="Arial"/>
                <w:color w:val="202B36"/>
                <w:sz w:val="15"/>
              </w:rPr>
              <w:t>36.40</w:t>
            </w:r>
          </w:p>
        </w:tc>
        <w:tc>
          <w:tcPr>
            <w:tcW w:type="dxa" w:w="1152"/>
            <w:vAlign w:val="top"/>
            <w:tcMar>
              <w:top w:w="65" w:type="dxa"/>
              <w:start w:w="65" w:type="dxa"/>
              <w:bottom w:w="65" w:type="dxa"/>
              <w:end w:w="65" w:type="dxa"/>
            </w:tcMar>
          </w:tcPr>
          <w:p>
            <w:pPr>
              <w:spacing w:after="0" w:line="240" w:lineRule="auto"/>
            </w:pPr>
            <w:r>
              <w:rPr>
                <w:rFonts w:ascii="Arial" w:hAnsi="Arial" w:eastAsia="Arial"/>
                <w:color w:val="202B36"/>
                <w:sz w:val="15"/>
              </w:rPr>
              <w:t>39.50</w:t>
            </w:r>
          </w:p>
        </w:tc>
        <w:tc>
          <w:tcPr>
            <w:tcW w:type="dxa" w:w="1368"/>
            <w:vAlign w:val="top"/>
            <w:tcMar>
              <w:top w:w="65" w:type="dxa"/>
              <w:start w:w="65" w:type="dxa"/>
              <w:bottom w:w="65" w:type="dxa"/>
              <w:end w:w="65" w:type="dxa"/>
            </w:tcMar>
          </w:tcPr>
          <w:p>
            <w:pPr>
              <w:spacing w:after="0" w:line="240" w:lineRule="auto"/>
            </w:pPr>
            <w:r>
              <w:rPr>
                <w:rFonts w:ascii="Arial" w:hAnsi="Arial" w:eastAsia="Arial"/>
                <w:color w:val="202B36"/>
                <w:sz w:val="15"/>
              </w:rPr>
              <w:t>2,981</w:t>
            </w:r>
          </w:p>
        </w:tc>
        <w:tc>
          <w:tcPr>
            <w:tcW w:type="dxa" w:w="1296"/>
            <w:vAlign w:val="top"/>
            <w:tcMar>
              <w:top w:w="65" w:type="dxa"/>
              <w:start w:w="65" w:type="dxa"/>
              <w:bottom w:w="65" w:type="dxa"/>
              <w:end w:w="65" w:type="dxa"/>
            </w:tcMar>
          </w:tcPr>
          <w:p>
            <w:pPr>
              <w:spacing w:after="0" w:line="240" w:lineRule="auto"/>
            </w:pPr>
            <w:r>
              <w:rPr>
                <w:rFonts w:ascii="Arial" w:hAnsi="Arial" w:eastAsia="Arial"/>
                <w:color w:val="202B36"/>
                <w:sz w:val="15"/>
              </w:rPr>
              <w:t>2.79%</w:t>
            </w:r>
          </w:p>
        </w:tc>
      </w:tr>
      <w:tr>
        <w:trPr>
          <w:cantSplit/>
          <w:trHeight w:hRule="atLeast"/>
        </w:trPr>
        <w:tc>
          <w:tcPr>
            <w:tcW w:type="dxa" w:w="338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initial_blood_flow_ml_min</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5"/>
              </w:rPr>
              <w:t>2.00</w:t>
            </w:r>
          </w:p>
        </w:tc>
        <w:tc>
          <w:tcPr>
            <w:tcW w:type="dxa" w:w="115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210.00</w:t>
            </w:r>
          </w:p>
        </w:tc>
        <w:tc>
          <w:tcPr>
            <w:tcW w:type="dxa" w:w="115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400.00</w:t>
            </w:r>
          </w:p>
        </w:tc>
        <w:tc>
          <w:tcPr>
            <w:tcW w:type="dxa" w:w="1368"/>
            <w:vAlign w:val="top"/>
            <w:tcMar>
              <w:top w:w="65" w:type="dxa"/>
              <w:start w:w="65" w:type="dxa"/>
              <w:bottom w:w="65" w:type="dxa"/>
              <w:end w:w="65" w:type="dxa"/>
            </w:tcMar>
            <w:shd w:fill="F7FAFC"/>
          </w:tcPr>
          <w:p>
            <w:pPr>
              <w:spacing w:after="0" w:line="240" w:lineRule="auto"/>
            </w:pPr>
            <w:r>
              <w:rPr>
                <w:rFonts w:ascii="Arial" w:hAnsi="Arial" w:eastAsia="Arial"/>
                <w:color w:val="202B36"/>
                <w:sz w:val="15"/>
              </w:rPr>
              <w:t>2,589</w:t>
            </w:r>
          </w:p>
        </w:tc>
        <w:tc>
          <w:tcPr>
            <w:tcW w:type="dxa" w:w="1296"/>
            <w:vAlign w:val="top"/>
            <w:tcMar>
              <w:top w:w="65" w:type="dxa"/>
              <w:start w:w="65" w:type="dxa"/>
              <w:bottom w:w="65" w:type="dxa"/>
              <w:end w:w="65" w:type="dxa"/>
            </w:tcMar>
            <w:shd w:fill="F7FAFC"/>
          </w:tcPr>
          <w:p>
            <w:pPr>
              <w:spacing w:after="0" w:line="240" w:lineRule="auto"/>
            </w:pPr>
            <w:r>
              <w:rPr>
                <w:rFonts w:ascii="Arial" w:hAnsi="Arial" w:eastAsia="Arial"/>
                <w:color w:val="202B36"/>
                <w:sz w:val="15"/>
              </w:rPr>
              <w:t>2.43%</w:t>
            </w:r>
          </w:p>
        </w:tc>
      </w:tr>
      <w:tr>
        <w:trPr>
          <w:cantSplit/>
          <w:trHeight w:hRule="atLeast"/>
        </w:trPr>
        <w:tc>
          <w:tcPr>
            <w:tcW w:type="dxa" w:w="3384"/>
            <w:vAlign w:val="top"/>
            <w:tcMar>
              <w:top w:w="65" w:type="dxa"/>
              <w:start w:w="65" w:type="dxa"/>
              <w:bottom w:w="65" w:type="dxa"/>
              <w:end w:w="65" w:type="dxa"/>
            </w:tcMar>
          </w:tcPr>
          <w:p>
            <w:pPr>
              <w:spacing w:after="0" w:line="240" w:lineRule="auto"/>
            </w:pPr>
            <w:r>
              <w:rPr>
                <w:rFonts w:ascii="Arial" w:hAnsi="Arial" w:eastAsia="Arial"/>
                <w:color w:val="202B36"/>
                <w:sz w:val="15"/>
              </w:rPr>
              <w:t>age_years</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5"/>
              </w:rPr>
              <w:t>18.00</w:t>
            </w:r>
          </w:p>
        </w:tc>
        <w:tc>
          <w:tcPr>
            <w:tcW w:type="dxa" w:w="1152"/>
            <w:vAlign w:val="top"/>
            <w:tcMar>
              <w:top w:w="65" w:type="dxa"/>
              <w:start w:w="65" w:type="dxa"/>
              <w:bottom w:w="65" w:type="dxa"/>
              <w:end w:w="65" w:type="dxa"/>
            </w:tcMar>
          </w:tcPr>
          <w:p>
            <w:pPr>
              <w:spacing w:after="0" w:line="240" w:lineRule="auto"/>
            </w:pPr>
            <w:r>
              <w:rPr>
                <w:rFonts w:ascii="Arial" w:hAnsi="Arial" w:eastAsia="Arial"/>
                <w:color w:val="202B36"/>
                <w:sz w:val="15"/>
              </w:rPr>
              <w:t>66.00</w:t>
            </w:r>
          </w:p>
        </w:tc>
        <w:tc>
          <w:tcPr>
            <w:tcW w:type="dxa" w:w="1152"/>
            <w:vAlign w:val="top"/>
            <w:tcMar>
              <w:top w:w="65" w:type="dxa"/>
              <w:start w:w="65" w:type="dxa"/>
              <w:bottom w:w="65" w:type="dxa"/>
              <w:end w:w="65" w:type="dxa"/>
            </w:tcMar>
          </w:tcPr>
          <w:p>
            <w:pPr>
              <w:spacing w:after="0" w:line="240" w:lineRule="auto"/>
            </w:pPr>
            <w:r>
              <w:rPr>
                <w:rFonts w:ascii="Arial" w:hAnsi="Arial" w:eastAsia="Arial"/>
                <w:color w:val="202B36"/>
                <w:sz w:val="15"/>
              </w:rPr>
              <w:t>94.00</w:t>
            </w:r>
          </w:p>
        </w:tc>
        <w:tc>
          <w:tcPr>
            <w:tcW w:type="dxa" w:w="1368"/>
            <w:vAlign w:val="top"/>
            <w:tcMar>
              <w:top w:w="65" w:type="dxa"/>
              <w:start w:w="65" w:type="dxa"/>
              <w:bottom w:w="65" w:type="dxa"/>
              <w:end w:w="65" w:type="dxa"/>
            </w:tcMar>
          </w:tcPr>
          <w:p>
            <w:pPr>
              <w:spacing w:after="0" w:line="240" w:lineRule="auto"/>
            </w:pPr>
            <w:r>
              <w:rPr>
                <w:rFonts w:ascii="Arial" w:hAnsi="Arial" w:eastAsia="Arial"/>
                <w:color w:val="202B36"/>
                <w:sz w:val="15"/>
              </w:rPr>
              <w:t>1,450</w:t>
            </w:r>
          </w:p>
        </w:tc>
        <w:tc>
          <w:tcPr>
            <w:tcW w:type="dxa" w:w="1296"/>
            <w:vAlign w:val="top"/>
            <w:tcMar>
              <w:top w:w="65" w:type="dxa"/>
              <w:start w:w="65" w:type="dxa"/>
              <w:bottom w:w="65" w:type="dxa"/>
              <w:end w:w="65" w:type="dxa"/>
            </w:tcMar>
          </w:tcPr>
          <w:p>
            <w:pPr>
              <w:spacing w:after="0" w:line="240" w:lineRule="auto"/>
            </w:pPr>
            <w:r>
              <w:rPr>
                <w:rFonts w:ascii="Arial" w:hAnsi="Arial" w:eastAsia="Arial"/>
                <w:color w:val="202B36"/>
                <w:sz w:val="15"/>
              </w:rPr>
              <w:t>1.36%</w:t>
            </w:r>
          </w:p>
        </w:tc>
      </w:tr>
      <w:tr>
        <w:trPr>
          <w:cantSplit/>
          <w:trHeight w:hRule="atLeast"/>
        </w:trPr>
        <w:tc>
          <w:tcPr>
            <w:tcW w:type="dxa" w:w="338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dryweight</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5"/>
              </w:rPr>
              <w:t>30.00</w:t>
            </w:r>
          </w:p>
        </w:tc>
        <w:tc>
          <w:tcPr>
            <w:tcW w:type="dxa" w:w="115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55.30</w:t>
            </w:r>
          </w:p>
        </w:tc>
        <w:tc>
          <w:tcPr>
            <w:tcW w:type="dxa" w:w="115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136.00</w:t>
            </w:r>
          </w:p>
        </w:tc>
        <w:tc>
          <w:tcPr>
            <w:tcW w:type="dxa" w:w="1368"/>
            <w:vAlign w:val="top"/>
            <w:tcMar>
              <w:top w:w="65" w:type="dxa"/>
              <w:start w:w="65" w:type="dxa"/>
              <w:bottom w:w="65" w:type="dxa"/>
              <w:end w:w="65" w:type="dxa"/>
            </w:tcMar>
            <w:shd w:fill="F7FAFC"/>
          </w:tcPr>
          <w:p>
            <w:pPr>
              <w:spacing w:after="0" w:line="240" w:lineRule="auto"/>
            </w:pPr>
            <w:r>
              <w:rPr>
                <w:rFonts w:ascii="Arial" w:hAnsi="Arial" w:eastAsia="Arial"/>
                <w:color w:val="202B36"/>
                <w:sz w:val="15"/>
              </w:rPr>
              <w:t>1,294</w:t>
            </w:r>
          </w:p>
        </w:tc>
        <w:tc>
          <w:tcPr>
            <w:tcW w:type="dxa" w:w="1296"/>
            <w:vAlign w:val="top"/>
            <w:tcMar>
              <w:top w:w="65" w:type="dxa"/>
              <w:start w:w="65" w:type="dxa"/>
              <w:bottom w:w="65" w:type="dxa"/>
              <w:end w:w="65" w:type="dxa"/>
            </w:tcMar>
            <w:shd w:fill="F7FAFC"/>
          </w:tcPr>
          <w:p>
            <w:pPr>
              <w:spacing w:after="0" w:line="240" w:lineRule="auto"/>
            </w:pPr>
            <w:r>
              <w:rPr>
                <w:rFonts w:ascii="Arial" w:hAnsi="Arial" w:eastAsia="Arial"/>
                <w:color w:val="202B36"/>
                <w:sz w:val="15"/>
              </w:rPr>
              <w:t>1.21%</w:t>
            </w:r>
          </w:p>
        </w:tc>
      </w:tr>
      <w:tr>
        <w:trPr>
          <w:cantSplit/>
          <w:trHeight w:hRule="atLeast"/>
        </w:trPr>
        <w:tc>
          <w:tcPr>
            <w:tcW w:type="dxa" w:w="3384"/>
            <w:vAlign w:val="top"/>
            <w:tcMar>
              <w:top w:w="65" w:type="dxa"/>
              <w:start w:w="65" w:type="dxa"/>
              <w:bottom w:w="65" w:type="dxa"/>
              <w:end w:w="65" w:type="dxa"/>
            </w:tcMar>
          </w:tcPr>
          <w:p>
            <w:pPr>
              <w:spacing w:after="0" w:line="240" w:lineRule="auto"/>
            </w:pPr>
            <w:r>
              <w:rPr>
                <w:rFonts w:ascii="Arial" w:hAnsi="Arial" w:eastAsia="Arial"/>
                <w:color w:val="202B36"/>
                <w:sz w:val="15"/>
              </w:rPr>
              <w:t>initial_uf_l_h</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5"/>
              </w:rPr>
              <w:t>0.00</w:t>
            </w:r>
          </w:p>
        </w:tc>
        <w:tc>
          <w:tcPr>
            <w:tcW w:type="dxa" w:w="1152"/>
            <w:vAlign w:val="top"/>
            <w:tcMar>
              <w:top w:w="65" w:type="dxa"/>
              <w:start w:w="65" w:type="dxa"/>
              <w:bottom w:w="65" w:type="dxa"/>
              <w:end w:w="65" w:type="dxa"/>
            </w:tcMar>
          </w:tcPr>
          <w:p>
            <w:pPr>
              <w:spacing w:after="0" w:line="240" w:lineRule="auto"/>
            </w:pPr>
            <w:r>
              <w:rPr>
                <w:rFonts w:ascii="Arial" w:hAnsi="Arial" w:eastAsia="Arial"/>
                <w:color w:val="202B36"/>
                <w:sz w:val="15"/>
              </w:rPr>
              <w:t>0.60</w:t>
            </w:r>
          </w:p>
        </w:tc>
        <w:tc>
          <w:tcPr>
            <w:tcW w:type="dxa" w:w="1152"/>
            <w:vAlign w:val="top"/>
            <w:tcMar>
              <w:top w:w="65" w:type="dxa"/>
              <w:start w:w="65" w:type="dxa"/>
              <w:bottom w:w="65" w:type="dxa"/>
              <w:end w:w="65" w:type="dxa"/>
            </w:tcMar>
          </w:tcPr>
          <w:p>
            <w:pPr>
              <w:spacing w:after="0" w:line="240" w:lineRule="auto"/>
            </w:pPr>
            <w:r>
              <w:rPr>
                <w:rFonts w:ascii="Arial" w:hAnsi="Arial" w:eastAsia="Arial"/>
                <w:color w:val="202B36"/>
                <w:sz w:val="15"/>
              </w:rPr>
              <w:t>3.00</w:t>
            </w:r>
          </w:p>
        </w:tc>
        <w:tc>
          <w:tcPr>
            <w:tcW w:type="dxa" w:w="1368"/>
            <w:vAlign w:val="top"/>
            <w:tcMar>
              <w:top w:w="65" w:type="dxa"/>
              <w:start w:w="65" w:type="dxa"/>
              <w:bottom w:w="65" w:type="dxa"/>
              <w:end w:w="65" w:type="dxa"/>
            </w:tcMar>
          </w:tcPr>
          <w:p>
            <w:pPr>
              <w:spacing w:after="0" w:line="240" w:lineRule="auto"/>
            </w:pPr>
            <w:r>
              <w:rPr>
                <w:rFonts w:ascii="Arial" w:hAnsi="Arial" w:eastAsia="Arial"/>
                <w:color w:val="202B36"/>
                <w:sz w:val="15"/>
              </w:rPr>
              <w:t>1,247</w:t>
            </w:r>
          </w:p>
        </w:tc>
        <w:tc>
          <w:tcPr>
            <w:tcW w:type="dxa" w:w="1296"/>
            <w:vAlign w:val="top"/>
            <w:tcMar>
              <w:top w:w="65" w:type="dxa"/>
              <w:start w:w="65" w:type="dxa"/>
              <w:bottom w:w="65" w:type="dxa"/>
              <w:end w:w="65" w:type="dxa"/>
            </w:tcMar>
          </w:tcPr>
          <w:p>
            <w:pPr>
              <w:spacing w:after="0" w:line="240" w:lineRule="auto"/>
            </w:pPr>
            <w:r>
              <w:rPr>
                <w:rFonts w:ascii="Arial" w:hAnsi="Arial" w:eastAsia="Arial"/>
                <w:color w:val="202B36"/>
                <w:sz w:val="15"/>
              </w:rPr>
              <w:t>1.17%</w:t>
            </w:r>
          </w:p>
        </w:tc>
      </w:tr>
      <w:tr>
        <w:trPr>
          <w:cantSplit/>
          <w:trHeight w:hRule="atLeast"/>
        </w:trPr>
        <w:tc>
          <w:tcPr>
            <w:tcW w:type="dxa" w:w="338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weightstart</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5"/>
              </w:rPr>
              <w:t>30.60</w:t>
            </w:r>
          </w:p>
        </w:tc>
        <w:tc>
          <w:tcPr>
            <w:tcW w:type="dxa" w:w="115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57.80</w:t>
            </w:r>
          </w:p>
        </w:tc>
        <w:tc>
          <w:tcPr>
            <w:tcW w:type="dxa" w:w="115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172.70</w:t>
            </w:r>
          </w:p>
        </w:tc>
        <w:tc>
          <w:tcPr>
            <w:tcW w:type="dxa" w:w="1368"/>
            <w:vAlign w:val="top"/>
            <w:tcMar>
              <w:top w:w="65" w:type="dxa"/>
              <w:start w:w="65" w:type="dxa"/>
              <w:bottom w:w="65" w:type="dxa"/>
              <w:end w:w="65" w:type="dxa"/>
            </w:tcMar>
            <w:shd w:fill="F7FAFC"/>
          </w:tcPr>
          <w:p>
            <w:pPr>
              <w:spacing w:after="0" w:line="240" w:lineRule="auto"/>
            </w:pPr>
            <w:r>
              <w:rPr>
                <w:rFonts w:ascii="Arial" w:hAnsi="Arial" w:eastAsia="Arial"/>
                <w:color w:val="202B36"/>
                <w:sz w:val="15"/>
              </w:rPr>
              <w:t>1,232</w:t>
            </w:r>
          </w:p>
        </w:tc>
        <w:tc>
          <w:tcPr>
            <w:tcW w:type="dxa" w:w="1296"/>
            <w:vAlign w:val="top"/>
            <w:tcMar>
              <w:top w:w="65" w:type="dxa"/>
              <w:start w:w="65" w:type="dxa"/>
              <w:bottom w:w="65" w:type="dxa"/>
              <w:end w:w="65" w:type="dxa"/>
            </w:tcMar>
            <w:shd w:fill="F7FAFC"/>
          </w:tcPr>
          <w:p>
            <w:pPr>
              <w:spacing w:after="0" w:line="240" w:lineRule="auto"/>
            </w:pPr>
            <w:r>
              <w:rPr>
                <w:rFonts w:ascii="Arial" w:hAnsi="Arial" w:eastAsia="Arial"/>
                <w:color w:val="202B36"/>
                <w:sz w:val="15"/>
              </w:rPr>
              <w:t>1.15%</w:t>
            </w:r>
          </w:p>
        </w:tc>
      </w:tr>
    </w:tbl>
    <w:p>
      <w:pPr>
        <w:spacing w:after="0"/>
      </w:pPr>
    </w:p>
    <w:p>
      <w:pPr>
        <w:spacing w:after="100"/>
      </w:pPr>
      <w:r>
        <w:rPr>
          <w:rFonts w:ascii="Arial" w:hAnsi="Arial" w:eastAsia="Arial"/>
          <w:b/>
          <w:color w:val="202B36"/>
        </w:rPr>
        <w:t>Priority quality checks.</w:t>
      </w:r>
      <w:r>
        <w:rPr>
          <w:rFonts w:ascii="Arial" w:hAnsi="Arial" w:eastAsia="Arial"/>
          <w:i w:val="0"/>
          <w:color w:val="202B36"/>
        </w:rPr>
        <w:t xml:space="preserve"> Conductivity has the largest IQR flag rate, 12.94%, because most readings are tightly concentrated near 14 mS/cm. Derived fluid-excess values range from -23.8 to 37.7 kg, and normalized ultrafiltration reaches 92.88 mL/kg/hour. These values are retained for transparency but will receive sensitivity checks, robust scaling or winsorization fitted only on training data, and individual-record review where feasible.</w:t>
      </w:r>
    </w:p>
    <w:p>
      <w:pPr>
        <w:pStyle w:val="Heading1"/>
      </w:pPr>
      <w:r>
        <w:t>Outcome Definition and Dataset Fitness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166"/>
      </w:tblGrid>
      <w:tr>
        <w:trPr>
          <w:cantSplit/>
        </w:trPr>
        <w:tc>
          <w:tcPr>
            <w:tcW w:type="dxa" w:w="10166"/>
            <w:tcMar>
              <w:top w:w="0" w:type="dxa"/>
              <w:start w:w="0" w:type="dxa"/>
              <w:bottom w:w="0" w:type="dxa"/>
              <w:end w:w="0" w:type="dxa"/>
            </w:tcMar>
          </w:tcPr>
          <w:p>
            <w:pPr>
              <w:spacing w:after="20"/>
              <w:jc w:val="center"/>
            </w:pPr>
            <w:r>
              <w:drawing>
                <wp:inline xmlns:a="http://schemas.openxmlformats.org/drawingml/2006/main" xmlns:pic="http://schemas.openxmlformats.org/drawingml/2006/picture">
                  <wp:extent cx="5852160" cy="3117451"/>
                  <wp:docPr id="5" name="Picture 5"/>
                  <wp:cNvGraphicFramePr>
                    <a:graphicFrameLocks noChangeAspect="1"/>
                  </wp:cNvGraphicFramePr>
                  <a:graphic>
                    <a:graphicData uri="http://schemas.openxmlformats.org/drawingml/2006/picture">
                      <pic:pic>
                        <pic:nvPicPr>
                          <pic:cNvPr id="0" name="outcome_definition_sensitivity.png"/>
                          <pic:cNvPicPr/>
                        </pic:nvPicPr>
                        <pic:blipFill>
                          <a:blip r:embed="rId13"/>
                          <a:stretch>
                            <a:fillRect/>
                          </a:stretch>
                        </pic:blipFill>
                        <pic:spPr>
                          <a:xfrm>
                            <a:off x="0" y="0"/>
                            <a:ext cx="5852160" cy="3117451"/>
                          </a:xfrm>
                          <a:prstGeom prst="rect"/>
                        </pic:spPr>
                      </pic:pic>
                    </a:graphicData>
                  </a:graphic>
                </wp:inline>
              </w:drawing>
            </w:r>
          </w:p>
          <w:p>
            <w:pPr>
              <w:pStyle w:val="Caption"/>
              <w:jc w:val="center"/>
            </w:pPr>
            <w:r>
              <w:rPr>
                <w:rFonts w:ascii="Arial" w:hAnsi="Arial" w:eastAsia="Arial"/>
                <w:i/>
                <w:color w:val="596875"/>
                <w:sz w:val="16"/>
              </w:rPr>
              <w:t>Figure 5. Outcome prevalence varies substantially by blood-pressure definition, reinforcing the need to preregister a primary label and report sensitivity analyses.</w:t>
            </w:r>
          </w:p>
        </w:tc>
      </w:tr>
    </w:tbl>
    <w:p>
      <w:pPr>
        <w:spacing w:after="0"/>
      </w:pP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2033"/>
        <w:gridCol w:w="2033"/>
        <w:gridCol w:w="2033"/>
        <w:gridCol w:w="2033"/>
        <w:gridCol w:w="2033"/>
      </w:tblGrid>
      <w:tr>
        <w:trPr>
          <w:tblHeader w:val="true"/>
          <w:cantSplit/>
        </w:trPr>
        <w:tc>
          <w:tcPr>
            <w:tcW w:type="dxa" w:w="1224"/>
            <w:shd w:fill="17324D"/>
            <w:tcMar>
              <w:top w:w="80" w:type="dxa"/>
              <w:start w:w="70" w:type="dxa"/>
              <w:bottom w:w="80" w:type="dxa"/>
              <w:end w:w="70" w:type="dxa"/>
            </w:tcMar>
            <w:vAlign w:val="center"/>
          </w:tcPr>
          <w:p>
            <w:pPr>
              <w:spacing w:after="0"/>
            </w:pPr>
            <w:r>
              <w:rPr>
                <w:rFonts w:ascii="Arial" w:hAnsi="Arial" w:eastAsia="Arial"/>
                <w:b/>
                <w:color w:val="FFFFFF"/>
                <w:sz w:val="15"/>
              </w:rPr>
              <w:t>Status</w:t>
            </w:r>
          </w:p>
        </w:tc>
        <w:tc>
          <w:tcPr>
            <w:tcW w:type="dxa" w:w="1512"/>
            <w:shd w:fill="17324D"/>
            <w:tcMar>
              <w:top w:w="80" w:type="dxa"/>
              <w:start w:w="70" w:type="dxa"/>
              <w:bottom w:w="80" w:type="dxa"/>
              <w:end w:w="70" w:type="dxa"/>
            </w:tcMar>
            <w:vAlign w:val="center"/>
          </w:tcPr>
          <w:p>
            <w:pPr>
              <w:spacing w:after="0"/>
            </w:pPr>
            <w:r>
              <w:rPr>
                <w:rFonts w:ascii="Arial" w:hAnsi="Arial" w:eastAsia="Arial"/>
                <w:b/>
                <w:color w:val="FFFFFF"/>
                <w:sz w:val="15"/>
              </w:rPr>
              <w:t>Variable</w:t>
            </w:r>
          </w:p>
        </w:tc>
        <w:tc>
          <w:tcPr>
            <w:tcW w:type="dxa" w:w="4680"/>
            <w:shd w:fill="17324D"/>
            <w:tcMar>
              <w:top w:w="80" w:type="dxa"/>
              <w:start w:w="70" w:type="dxa"/>
              <w:bottom w:w="80" w:type="dxa"/>
              <w:end w:w="70" w:type="dxa"/>
            </w:tcMar>
            <w:vAlign w:val="center"/>
          </w:tcPr>
          <w:p>
            <w:pPr>
              <w:spacing w:after="0"/>
            </w:pPr>
            <w:r>
              <w:rPr>
                <w:rFonts w:ascii="Arial" w:hAnsi="Arial" w:eastAsia="Arial"/>
                <w:b/>
                <w:color w:val="FFFFFF"/>
                <w:sz w:val="15"/>
              </w:rPr>
              <w:t>Operational definition</w:t>
            </w:r>
          </w:p>
        </w:tc>
        <w:tc>
          <w:tcPr>
            <w:tcW w:type="dxa" w:w="1152"/>
            <w:shd w:fill="17324D"/>
            <w:tcMar>
              <w:top w:w="80" w:type="dxa"/>
              <w:start w:w="70" w:type="dxa"/>
              <w:bottom w:w="80" w:type="dxa"/>
              <w:end w:w="70" w:type="dxa"/>
            </w:tcMar>
            <w:vAlign w:val="center"/>
          </w:tcPr>
          <w:p>
            <w:pPr>
              <w:spacing w:after="0"/>
            </w:pPr>
            <w:r>
              <w:rPr>
                <w:rFonts w:ascii="Arial" w:hAnsi="Arial" w:eastAsia="Arial"/>
                <w:b/>
                <w:color w:val="FFFFFF"/>
                <w:sz w:val="15"/>
              </w:rPr>
              <w:t>Events</w:t>
            </w:r>
          </w:p>
        </w:tc>
        <w:tc>
          <w:tcPr>
            <w:tcW w:type="dxa" w:w="1224"/>
            <w:shd w:fill="17324D"/>
            <w:tcMar>
              <w:top w:w="80" w:type="dxa"/>
              <w:start w:w="70" w:type="dxa"/>
              <w:bottom w:w="80" w:type="dxa"/>
              <w:end w:w="70" w:type="dxa"/>
            </w:tcMar>
            <w:vAlign w:val="center"/>
          </w:tcPr>
          <w:p>
            <w:pPr>
              <w:spacing w:after="0"/>
            </w:pPr>
            <w:r>
              <w:rPr>
                <w:rFonts w:ascii="Arial" w:hAnsi="Arial" w:eastAsia="Arial"/>
                <w:b/>
                <w:color w:val="FFFFFF"/>
                <w:sz w:val="15"/>
              </w:rPr>
              <w:t>Prevalence</w:t>
            </w:r>
          </w:p>
        </w:tc>
      </w:tr>
      <w:tr>
        <w:trPr>
          <w:cantSplit/>
          <w:trHeight w:hRule="atLeast"/>
        </w:trPr>
        <w:tc>
          <w:tcPr>
            <w:tcW w:type="dxa" w:w="1224"/>
            <w:vAlign w:val="top"/>
            <w:tcMar>
              <w:top w:w="65" w:type="dxa"/>
              <w:start w:w="65" w:type="dxa"/>
              <w:bottom w:w="65" w:type="dxa"/>
              <w:end w:w="65" w:type="dxa"/>
            </w:tcMar>
          </w:tcPr>
          <w:p>
            <w:pPr>
              <w:spacing w:after="0" w:line="240" w:lineRule="auto"/>
            </w:pPr>
            <w:r>
              <w:rPr>
                <w:rFonts w:ascii="Arial" w:hAnsi="Arial" w:eastAsia="Arial"/>
                <w:color w:val="202B36"/>
                <w:sz w:val="15"/>
              </w:rPr>
              <w:t>Primary</w:t>
            </w:r>
          </w:p>
        </w:tc>
        <w:tc>
          <w:tcPr>
            <w:tcW w:type="dxa" w:w="1512"/>
            <w:vAlign w:val="top"/>
            <w:tcMar>
              <w:top w:w="65" w:type="dxa"/>
              <w:start w:w="65" w:type="dxa"/>
              <w:bottom w:w="65" w:type="dxa"/>
              <w:end w:w="65" w:type="dxa"/>
            </w:tcMar>
          </w:tcPr>
          <w:p>
            <w:pPr>
              <w:spacing w:after="0" w:line="240" w:lineRule="auto"/>
            </w:pPr>
            <w:r>
              <w:rPr>
                <w:rFonts w:ascii="Arial" w:hAnsi="Arial" w:eastAsia="Arial"/>
                <w:color w:val="202B36"/>
                <w:sz w:val="15"/>
              </w:rPr>
              <w:t>idh_absolute</w:t>
            </w:r>
          </w:p>
        </w:tc>
        <w:tc>
          <w:tcPr>
            <w:tcW w:type="dxa" w:w="4680"/>
            <w:vAlign w:val="top"/>
            <w:tcMar>
              <w:top w:w="65" w:type="dxa"/>
              <w:start w:w="65" w:type="dxa"/>
              <w:bottom w:w="65" w:type="dxa"/>
              <w:end w:w="65" w:type="dxa"/>
            </w:tcMar>
          </w:tcPr>
          <w:p>
            <w:pPr>
              <w:spacing w:after="0" w:line="240" w:lineRule="auto"/>
            </w:pPr>
            <w:r>
              <w:rPr>
                <w:rFonts w:ascii="Arial" w:hAnsi="Arial" w:eastAsia="Arial"/>
                <w:color w:val="202B36"/>
                <w:sz w:val="15"/>
              </w:rPr>
              <w:t>Any later SBP below 90 mmHg</w:t>
            </w:r>
          </w:p>
        </w:tc>
        <w:tc>
          <w:tcPr>
            <w:tcW w:type="dxa" w:w="1152"/>
            <w:vAlign w:val="top"/>
            <w:tcMar>
              <w:top w:w="65" w:type="dxa"/>
              <w:start w:w="65" w:type="dxa"/>
              <w:bottom w:w="65" w:type="dxa"/>
              <w:end w:w="65" w:type="dxa"/>
            </w:tcMar>
          </w:tcPr>
          <w:p>
            <w:pPr>
              <w:spacing w:after="0" w:line="240" w:lineRule="auto"/>
            </w:pPr>
            <w:r>
              <w:rPr>
                <w:rFonts w:ascii="Arial" w:hAnsi="Arial" w:eastAsia="Arial"/>
                <w:color w:val="202B36"/>
                <w:sz w:val="15"/>
              </w:rPr>
              <w:t>9,067</w:t>
            </w:r>
          </w:p>
        </w:tc>
        <w:tc>
          <w:tcPr>
            <w:tcW w:type="dxa" w:w="1224"/>
            <w:vAlign w:val="top"/>
            <w:tcMar>
              <w:top w:w="65" w:type="dxa"/>
              <w:start w:w="65" w:type="dxa"/>
              <w:bottom w:w="65" w:type="dxa"/>
              <w:end w:w="65" w:type="dxa"/>
            </w:tcMar>
          </w:tcPr>
          <w:p>
            <w:pPr>
              <w:spacing w:after="0" w:line="240" w:lineRule="auto"/>
            </w:pPr>
            <w:r>
              <w:rPr>
                <w:rFonts w:ascii="Arial" w:hAnsi="Arial" w:eastAsia="Arial"/>
                <w:color w:val="202B36"/>
                <w:sz w:val="15"/>
              </w:rPr>
              <w:t>8.493%</w:t>
            </w:r>
          </w:p>
        </w:tc>
      </w:tr>
      <w:tr>
        <w:trPr>
          <w:cantSplit/>
          <w:trHeight w:hRule="atLeast"/>
        </w:trPr>
        <w:tc>
          <w:tcPr>
            <w:tcW w:type="dxa" w:w="122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Sensitivity</w:t>
            </w:r>
          </w:p>
        </w:tc>
        <w:tc>
          <w:tcPr>
            <w:tcW w:type="dxa" w:w="151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idh_flythe</w:t>
            </w:r>
          </w:p>
        </w:tc>
        <w:tc>
          <w:tcPr>
            <w:tcW w:type="dxa" w:w="4680"/>
            <w:vAlign w:val="top"/>
            <w:tcMar>
              <w:top w:w="65" w:type="dxa"/>
              <w:start w:w="65" w:type="dxa"/>
              <w:bottom w:w="65" w:type="dxa"/>
              <w:end w:w="65" w:type="dxa"/>
            </w:tcMar>
            <w:shd w:fill="F7FAFC"/>
          </w:tcPr>
          <w:p>
            <w:pPr>
              <w:spacing w:after="0" w:line="240" w:lineRule="auto"/>
            </w:pPr>
            <w:r>
              <w:rPr>
                <w:rFonts w:ascii="Arial" w:hAnsi="Arial" w:eastAsia="Arial"/>
                <w:color w:val="202B36"/>
                <w:sz w:val="15"/>
              </w:rPr>
              <w:t>Later nadir below 90 if baseline below 160; otherwise below 100</w:t>
            </w:r>
          </w:p>
        </w:tc>
        <w:tc>
          <w:tcPr>
            <w:tcW w:type="dxa" w:w="115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10,508</w:t>
            </w:r>
          </w:p>
        </w:tc>
        <w:tc>
          <w:tcPr>
            <w:tcW w:type="dxa" w:w="122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9.843%</w:t>
            </w:r>
          </w:p>
        </w:tc>
      </w:tr>
      <w:tr>
        <w:trPr>
          <w:cantSplit/>
          <w:trHeight w:hRule="atLeast"/>
        </w:trPr>
        <w:tc>
          <w:tcPr>
            <w:tcW w:type="dxa" w:w="1224"/>
            <w:vAlign w:val="top"/>
            <w:tcMar>
              <w:top w:w="65" w:type="dxa"/>
              <w:start w:w="65" w:type="dxa"/>
              <w:bottom w:w="65" w:type="dxa"/>
              <w:end w:w="65" w:type="dxa"/>
            </w:tcMar>
          </w:tcPr>
          <w:p>
            <w:pPr>
              <w:spacing w:after="0" w:line="240" w:lineRule="auto"/>
            </w:pPr>
            <w:r>
              <w:rPr>
                <w:rFonts w:ascii="Arial" w:hAnsi="Arial" w:eastAsia="Arial"/>
                <w:color w:val="202B36"/>
                <w:sz w:val="15"/>
              </w:rPr>
              <w:t>Sensitivity</w:t>
            </w:r>
          </w:p>
        </w:tc>
        <w:tc>
          <w:tcPr>
            <w:tcW w:type="dxa" w:w="1512"/>
            <w:vAlign w:val="top"/>
            <w:tcMar>
              <w:top w:w="65" w:type="dxa"/>
              <w:start w:w="65" w:type="dxa"/>
              <w:bottom w:w="65" w:type="dxa"/>
              <w:end w:w="65" w:type="dxa"/>
            </w:tcMar>
          </w:tcPr>
          <w:p>
            <w:pPr>
              <w:spacing w:after="0" w:line="240" w:lineRule="auto"/>
            </w:pPr>
            <w:r>
              <w:rPr>
                <w:rFonts w:ascii="Arial" w:hAnsi="Arial" w:eastAsia="Arial"/>
                <w:color w:val="202B36"/>
                <w:sz w:val="15"/>
              </w:rPr>
              <w:t>idh_drop_20</w:t>
            </w:r>
          </w:p>
        </w:tc>
        <w:tc>
          <w:tcPr>
            <w:tcW w:type="dxa" w:w="4680"/>
            <w:vAlign w:val="top"/>
            <w:tcMar>
              <w:top w:w="65" w:type="dxa"/>
              <w:start w:w="65" w:type="dxa"/>
              <w:bottom w:w="65" w:type="dxa"/>
              <w:end w:w="65" w:type="dxa"/>
            </w:tcMar>
          </w:tcPr>
          <w:p>
            <w:pPr>
              <w:spacing w:after="0" w:line="240" w:lineRule="auto"/>
            </w:pPr>
            <w:r>
              <w:rPr>
                <w:rFonts w:ascii="Arial" w:hAnsi="Arial" w:eastAsia="Arial"/>
                <w:color w:val="202B36"/>
                <w:sz w:val="15"/>
              </w:rPr>
              <w:t>Any later SBP at least 20 mmHg below baseline</w:t>
            </w:r>
          </w:p>
        </w:tc>
        <w:tc>
          <w:tcPr>
            <w:tcW w:type="dxa" w:w="1152"/>
            <w:vAlign w:val="top"/>
            <w:tcMar>
              <w:top w:w="65" w:type="dxa"/>
              <w:start w:w="65" w:type="dxa"/>
              <w:bottom w:w="65" w:type="dxa"/>
              <w:end w:w="65" w:type="dxa"/>
            </w:tcMar>
          </w:tcPr>
          <w:p>
            <w:pPr>
              <w:spacing w:after="0" w:line="240" w:lineRule="auto"/>
            </w:pPr>
            <w:r>
              <w:rPr>
                <w:rFonts w:ascii="Arial" w:hAnsi="Arial" w:eastAsia="Arial"/>
                <w:color w:val="202B36"/>
                <w:sz w:val="15"/>
              </w:rPr>
              <w:t>51,753</w:t>
            </w:r>
          </w:p>
        </w:tc>
        <w:tc>
          <w:tcPr>
            <w:tcW w:type="dxa" w:w="1224"/>
            <w:vAlign w:val="top"/>
            <w:tcMar>
              <w:top w:w="65" w:type="dxa"/>
              <w:start w:w="65" w:type="dxa"/>
              <w:bottom w:w="65" w:type="dxa"/>
              <w:end w:w="65" w:type="dxa"/>
            </w:tcMar>
          </w:tcPr>
          <w:p>
            <w:pPr>
              <w:spacing w:after="0" w:line="240" w:lineRule="auto"/>
            </w:pPr>
            <w:r>
              <w:rPr>
                <w:rFonts w:ascii="Arial" w:hAnsi="Arial" w:eastAsia="Arial"/>
                <w:color w:val="202B36"/>
                <w:sz w:val="15"/>
              </w:rPr>
              <w:t>48.477%</w:t>
            </w:r>
          </w:p>
        </w:tc>
      </w:tr>
    </w:tbl>
    <w:p>
      <w:pPr>
        <w:spacing w:after="0"/>
      </w:pPr>
    </w:p>
    <w:p>
      <w:pPr>
        <w:spacing w:after="100"/>
      </w:pPr>
      <w:r>
        <w:rPr>
          <w:rFonts w:ascii="Arial" w:hAnsi="Arial" w:eastAsia="Arial"/>
          <w:b/>
          <w:color w:val="202B36"/>
        </w:rPr>
        <w:t>Fitness conclusion.</w:t>
      </w:r>
      <w:r>
        <w:rPr>
          <w:rFonts w:ascii="Arial" w:hAnsi="Arial" w:eastAsia="Arial"/>
          <w:i w:val="0"/>
          <w:color w:val="202B36"/>
        </w:rPr>
        <w:t xml:space="preserve"> HEMOBP is fit for an academic study of early, BP-defined risk prediction. It is not sufficient to claim prediction of the full clinical syndrome of IDH because symptoms and interventions are absent. It also does not support causal claims about treatment settings: dialysate temperature, conductivity, ultrafiltration, and blood flow were assigned in routine care rather than randomized.</w:t>
      </w:r>
    </w:p>
    <w:p>
      <w:pPr>
        <w:pStyle w:val="Heading2"/>
      </w:pPr>
      <w:r>
        <w:t>Known Limitations and Controls</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3389"/>
        <w:gridCol w:w="3389"/>
        <w:gridCol w:w="3389"/>
      </w:tblGrid>
      <w:tr>
        <w:trPr>
          <w:tblHeader w:val="true"/>
          <w:cantSplit/>
        </w:trPr>
        <w:tc>
          <w:tcPr>
            <w:tcW w:type="dxa" w:w="1944"/>
            <w:shd w:fill="17324D"/>
            <w:tcMar>
              <w:top w:w="80" w:type="dxa"/>
              <w:start w:w="70" w:type="dxa"/>
              <w:bottom w:w="80" w:type="dxa"/>
              <w:end w:w="70" w:type="dxa"/>
            </w:tcMar>
            <w:vAlign w:val="center"/>
          </w:tcPr>
          <w:p>
            <w:pPr>
              <w:spacing w:after="0"/>
            </w:pPr>
            <w:r>
              <w:rPr>
                <w:rFonts w:ascii="Arial" w:hAnsi="Arial" w:eastAsia="Arial"/>
                <w:b/>
                <w:color w:val="FFFFFF"/>
                <w:sz w:val="15"/>
              </w:rPr>
              <w:t>Limitation</w:t>
            </w:r>
          </w:p>
        </w:tc>
        <w:tc>
          <w:tcPr>
            <w:tcW w:type="dxa" w:w="3672"/>
            <w:shd w:fill="17324D"/>
            <w:tcMar>
              <w:top w:w="80" w:type="dxa"/>
              <w:start w:w="70" w:type="dxa"/>
              <w:bottom w:w="80" w:type="dxa"/>
              <w:end w:w="70" w:type="dxa"/>
            </w:tcMar>
            <w:vAlign w:val="center"/>
          </w:tcPr>
          <w:p>
            <w:pPr>
              <w:spacing w:after="0"/>
            </w:pPr>
            <w:r>
              <w:rPr>
                <w:rFonts w:ascii="Arial" w:hAnsi="Arial" w:eastAsia="Arial"/>
                <w:b/>
                <w:color w:val="FFFFFF"/>
                <w:sz w:val="15"/>
              </w:rPr>
              <w:t>Why it matters</w:t>
            </w:r>
          </w:p>
        </w:tc>
        <w:tc>
          <w:tcPr>
            <w:tcW w:type="dxa" w:w="4032"/>
            <w:shd w:fill="17324D"/>
            <w:tcMar>
              <w:top w:w="80" w:type="dxa"/>
              <w:start w:w="70" w:type="dxa"/>
              <w:bottom w:w="80" w:type="dxa"/>
              <w:end w:w="70" w:type="dxa"/>
            </w:tcMar>
            <w:vAlign w:val="center"/>
          </w:tcPr>
          <w:p>
            <w:pPr>
              <w:spacing w:after="0"/>
            </w:pPr>
            <w:r>
              <w:rPr>
                <w:rFonts w:ascii="Arial" w:hAnsi="Arial" w:eastAsia="Arial"/>
                <w:b/>
                <w:color w:val="FFFFFF"/>
                <w:sz w:val="15"/>
              </w:rPr>
              <w:t>Planned control</w:t>
            </w:r>
          </w:p>
        </w:tc>
      </w:tr>
      <w:tr>
        <w:trPr>
          <w:cantSplit/>
          <w:trHeight w:hRule="atLeast"/>
        </w:trPr>
        <w:tc>
          <w:tcPr>
            <w:tcW w:type="dxa" w:w="1944"/>
            <w:vAlign w:val="top"/>
            <w:tcMar>
              <w:top w:w="65" w:type="dxa"/>
              <w:start w:w="65" w:type="dxa"/>
              <w:bottom w:w="65" w:type="dxa"/>
              <w:end w:w="65" w:type="dxa"/>
            </w:tcMar>
          </w:tcPr>
          <w:p>
            <w:pPr>
              <w:spacing w:after="0" w:line="240" w:lineRule="auto"/>
            </w:pPr>
            <w:r>
              <w:rPr>
                <w:rFonts w:ascii="Arial" w:hAnsi="Arial" w:eastAsia="Arial"/>
                <w:color w:val="202B36"/>
                <w:sz w:val="15"/>
              </w:rPr>
              <w:t>Single center and country</w:t>
            </w:r>
          </w:p>
        </w:tc>
        <w:tc>
          <w:tcPr>
            <w:tcW w:type="dxa" w:w="3672"/>
            <w:vAlign w:val="top"/>
            <w:tcMar>
              <w:top w:w="65" w:type="dxa"/>
              <w:start w:w="65" w:type="dxa"/>
              <w:bottom w:w="65" w:type="dxa"/>
              <w:end w:w="65" w:type="dxa"/>
            </w:tcMar>
          </w:tcPr>
          <w:p>
            <w:pPr>
              <w:spacing w:after="0" w:line="240" w:lineRule="auto"/>
            </w:pPr>
            <w:r>
              <w:rPr>
                <w:rFonts w:ascii="Arial" w:hAnsi="Arial" w:eastAsia="Arial"/>
                <w:color w:val="202B36"/>
                <w:sz w:val="15"/>
              </w:rPr>
              <w:t>Transportability to other dialysis units, devices, and populations is unknown.</w:t>
            </w:r>
          </w:p>
        </w:tc>
        <w:tc>
          <w:tcPr>
            <w:tcW w:type="dxa" w:w="4032"/>
            <w:vAlign w:val="top"/>
            <w:tcMar>
              <w:top w:w="65" w:type="dxa"/>
              <w:start w:w="65" w:type="dxa"/>
              <w:bottom w:w="65" w:type="dxa"/>
              <w:end w:w="65" w:type="dxa"/>
            </w:tcMar>
          </w:tcPr>
          <w:p>
            <w:pPr>
              <w:spacing w:after="0" w:line="240" w:lineRule="auto"/>
            </w:pPr>
            <w:r>
              <w:rPr>
                <w:rFonts w:ascii="Arial" w:hAnsi="Arial" w:eastAsia="Arial"/>
                <w:color w:val="202B36"/>
                <w:sz w:val="15"/>
              </w:rPr>
              <w:t>Use patient-grouped internal validation and require independent external validation.</w:t>
            </w:r>
          </w:p>
        </w:tc>
      </w:tr>
      <w:tr>
        <w:trPr>
          <w:cantSplit/>
          <w:trHeight w:hRule="atLeast"/>
        </w:trPr>
        <w:tc>
          <w:tcPr>
            <w:tcW w:type="dxa" w:w="194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Repeated sessions</w:t>
            </w:r>
          </w:p>
        </w:tc>
        <w:tc>
          <w:tcPr>
            <w:tcW w:type="dxa" w:w="367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A random row split would place the same patient in training and testing.</w:t>
            </w:r>
          </w:p>
        </w:tc>
        <w:tc>
          <w:tcPr>
            <w:tcW w:type="dxa" w:w="403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Use patient-grouped splits and report patient-level bootstrap uncertainty.</w:t>
            </w:r>
          </w:p>
        </w:tc>
      </w:tr>
      <w:tr>
        <w:trPr>
          <w:cantSplit/>
          <w:trHeight w:hRule="atLeast"/>
        </w:trPr>
        <w:tc>
          <w:tcPr>
            <w:tcW w:type="dxa" w:w="1944"/>
            <w:vAlign w:val="top"/>
            <w:tcMar>
              <w:top w:w="65" w:type="dxa"/>
              <w:start w:w="65" w:type="dxa"/>
              <w:bottom w:w="65" w:type="dxa"/>
              <w:end w:w="65" w:type="dxa"/>
            </w:tcMar>
          </w:tcPr>
          <w:p>
            <w:pPr>
              <w:spacing w:after="0" w:line="240" w:lineRule="auto"/>
            </w:pPr>
            <w:r>
              <w:rPr>
                <w:rFonts w:ascii="Arial" w:hAnsi="Arial" w:eastAsia="Arial"/>
                <w:color w:val="202B36"/>
                <w:sz w:val="15"/>
              </w:rPr>
              <w:t>Outcome incompleteness</w:t>
            </w:r>
          </w:p>
        </w:tc>
        <w:tc>
          <w:tcPr>
            <w:tcW w:type="dxa" w:w="3672"/>
            <w:vAlign w:val="top"/>
            <w:tcMar>
              <w:top w:w="65" w:type="dxa"/>
              <w:start w:w="65" w:type="dxa"/>
              <w:bottom w:w="65" w:type="dxa"/>
              <w:end w:w="65" w:type="dxa"/>
            </w:tcMar>
          </w:tcPr>
          <w:p>
            <w:pPr>
              <w:spacing w:after="0" w:line="240" w:lineRule="auto"/>
            </w:pPr>
            <w:r>
              <w:rPr>
                <w:rFonts w:ascii="Arial" w:hAnsi="Arial" w:eastAsia="Arial"/>
                <w:color w:val="202B36"/>
                <w:sz w:val="15"/>
              </w:rPr>
              <w:t>No symptoms or rescue interventions are available.</w:t>
            </w:r>
          </w:p>
        </w:tc>
        <w:tc>
          <w:tcPr>
            <w:tcW w:type="dxa" w:w="4032"/>
            <w:vAlign w:val="top"/>
            <w:tcMar>
              <w:top w:w="65" w:type="dxa"/>
              <w:start w:w="65" w:type="dxa"/>
              <w:bottom w:w="65" w:type="dxa"/>
              <w:end w:w="65" w:type="dxa"/>
            </w:tcMar>
          </w:tcPr>
          <w:p>
            <w:pPr>
              <w:spacing w:after="0" w:line="240" w:lineRule="auto"/>
            </w:pPr>
            <w:r>
              <w:rPr>
                <w:rFonts w:ascii="Arial" w:hAnsi="Arial" w:eastAsia="Arial"/>
                <w:color w:val="202B36"/>
                <w:sz w:val="15"/>
              </w:rPr>
              <w:t>Name the label BP-defined IDH and present alternate BP definitions.</w:t>
            </w:r>
          </w:p>
        </w:tc>
      </w:tr>
      <w:tr>
        <w:trPr>
          <w:cantSplit/>
          <w:trHeight w:hRule="atLeast"/>
        </w:trPr>
        <w:tc>
          <w:tcPr>
            <w:tcW w:type="dxa" w:w="194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Informative sampling</w:t>
            </w:r>
          </w:p>
        </w:tc>
        <w:tc>
          <w:tcPr>
            <w:tcW w:type="dxa" w:w="367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Extra BP readings may occur when clinicians are concerned.</w:t>
            </w:r>
          </w:p>
        </w:tc>
        <w:tc>
          <w:tcPr>
            <w:tcW w:type="dxa" w:w="403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Exclude post-index count features from prediction and discuss measurement-process bias.</w:t>
            </w:r>
          </w:p>
        </w:tc>
      </w:tr>
      <w:tr>
        <w:trPr>
          <w:cantSplit/>
          <w:trHeight w:hRule="atLeast"/>
        </w:trPr>
        <w:tc>
          <w:tcPr>
            <w:tcW w:type="dxa" w:w="1944"/>
            <w:vAlign w:val="top"/>
            <w:tcMar>
              <w:top w:w="65" w:type="dxa"/>
              <w:start w:w="65" w:type="dxa"/>
              <w:bottom w:w="65" w:type="dxa"/>
              <w:end w:w="65" w:type="dxa"/>
            </w:tcMar>
          </w:tcPr>
          <w:p>
            <w:pPr>
              <w:spacing w:after="0" w:line="240" w:lineRule="auto"/>
            </w:pPr>
            <w:r>
              <w:rPr>
                <w:rFonts w:ascii="Arial" w:hAnsi="Arial" w:eastAsia="Arial"/>
                <w:color w:val="202B36"/>
                <w:sz w:val="15"/>
              </w:rPr>
              <w:t>Limited clinical covariates</w:t>
            </w:r>
          </w:p>
        </w:tc>
        <w:tc>
          <w:tcPr>
            <w:tcW w:type="dxa" w:w="3672"/>
            <w:vAlign w:val="top"/>
            <w:tcMar>
              <w:top w:w="65" w:type="dxa"/>
              <w:start w:w="65" w:type="dxa"/>
              <w:bottom w:w="65" w:type="dxa"/>
              <w:end w:w="65" w:type="dxa"/>
            </w:tcMar>
          </w:tcPr>
          <w:p>
            <w:pPr>
              <w:spacing w:after="0" w:line="240" w:lineRule="auto"/>
            </w:pPr>
            <w:r>
              <w:rPr>
                <w:rFonts w:ascii="Arial" w:hAnsi="Arial" w:eastAsia="Arial"/>
                <w:color w:val="202B36"/>
                <w:sz w:val="15"/>
              </w:rPr>
              <w:t>Most laboratory, medication, and comorbidity data are absent.</w:t>
            </w:r>
          </w:p>
        </w:tc>
        <w:tc>
          <w:tcPr>
            <w:tcW w:type="dxa" w:w="4032"/>
            <w:vAlign w:val="top"/>
            <w:tcMar>
              <w:top w:w="65" w:type="dxa"/>
              <w:start w:w="65" w:type="dxa"/>
              <w:bottom w:w="65" w:type="dxa"/>
              <w:end w:w="65" w:type="dxa"/>
            </w:tcMar>
          </w:tcPr>
          <w:p>
            <w:pPr>
              <w:spacing w:after="0" w:line="240" w:lineRule="auto"/>
            </w:pPr>
            <w:r>
              <w:rPr>
                <w:rFonts w:ascii="Arial" w:hAnsi="Arial" w:eastAsia="Arial"/>
                <w:color w:val="202B36"/>
                <w:sz w:val="15"/>
              </w:rPr>
              <w:t>Constrain claims and document omitted-variable risk.</w:t>
            </w:r>
          </w:p>
        </w:tc>
      </w:tr>
      <w:tr>
        <w:trPr>
          <w:cantSplit/>
          <w:trHeight w:hRule="atLeast"/>
        </w:trPr>
        <w:tc>
          <w:tcPr>
            <w:tcW w:type="dxa" w:w="1944"/>
            <w:vAlign w:val="top"/>
            <w:tcMar>
              <w:top w:w="65" w:type="dxa"/>
              <w:start w:w="65" w:type="dxa"/>
              <w:bottom w:w="65" w:type="dxa"/>
              <w:end w:w="65" w:type="dxa"/>
            </w:tcMar>
            <w:shd w:fill="F7FAFC"/>
          </w:tcPr>
          <w:p>
            <w:pPr>
              <w:spacing w:after="0" w:line="240" w:lineRule="auto"/>
            </w:pPr>
            <w:r>
              <w:rPr>
                <w:rFonts w:ascii="Arial" w:hAnsi="Arial" w:eastAsia="Arial"/>
                <w:color w:val="202B36"/>
                <w:sz w:val="15"/>
              </w:rPr>
              <w:t>Sensitive attributes</w:t>
            </w:r>
          </w:p>
        </w:tc>
        <w:tc>
          <w:tcPr>
            <w:tcW w:type="dxa" w:w="367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Public data include recorded sex and age but not race or socioeconomic status.</w:t>
            </w:r>
          </w:p>
        </w:tc>
        <w:tc>
          <w:tcPr>
            <w:tcW w:type="dxa" w:w="4032"/>
            <w:vAlign w:val="top"/>
            <w:tcMar>
              <w:top w:w="65" w:type="dxa"/>
              <w:start w:w="65" w:type="dxa"/>
              <w:bottom w:w="65" w:type="dxa"/>
              <w:end w:w="65" w:type="dxa"/>
            </w:tcMar>
            <w:shd w:fill="F7FAFC"/>
          </w:tcPr>
          <w:p>
            <w:pPr>
              <w:spacing w:after="0" w:line="240" w:lineRule="auto"/>
            </w:pPr>
            <w:r>
              <w:rPr>
                <w:rFonts w:ascii="Arial" w:hAnsi="Arial" w:eastAsia="Arial"/>
                <w:color w:val="202B36"/>
                <w:sz w:val="15"/>
              </w:rPr>
              <w:t>Audit available subgroups and state that unobserved-group fairness cannot be assessed.</w:t>
            </w:r>
          </w:p>
        </w:tc>
      </w:tr>
    </w:tbl>
    <w:p>
      <w:pPr>
        <w:spacing w:after="0"/>
      </w:pPr>
    </w:p>
    <w:p>
      <w:pPr>
        <w:pStyle w:val="Heading1"/>
      </w:pPr>
      <w:r>
        <w:t>Reproducibility Record</w:t>
      </w:r>
    </w:p>
    <w:p>
      <w:pPr>
        <w:spacing w:after="100"/>
      </w:pPr>
      <w:r>
        <w:rPr>
          <w:rFonts w:ascii="Arial" w:hAnsi="Arial" w:eastAsia="Arial"/>
          <w:i w:val="0"/>
          <w:color w:val="202B36"/>
        </w:rPr>
        <w:t>The source CSV files remain immutable in data/raw. The session-level table is generated by code, and every exclusion and feature definition is encoded rather than performed manually. The workbook supplied with this report contains the full audit fields and can be filtered by source table, modelling role, or prediction-time availability.</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5083"/>
        <w:gridCol w:w="5083"/>
      </w:tblGrid>
      <w:tr>
        <w:trPr>
          <w:tblHeader w:val="true"/>
          <w:cantSplit/>
        </w:trPr>
        <w:tc>
          <w:tcPr>
            <w:tcW w:type="dxa" w:w="2880"/>
            <w:shd w:fill="17324D"/>
            <w:tcMar>
              <w:top w:w="80" w:type="dxa"/>
              <w:start w:w="70" w:type="dxa"/>
              <w:bottom w:w="80" w:type="dxa"/>
              <w:end w:w="70" w:type="dxa"/>
            </w:tcMar>
            <w:vAlign w:val="center"/>
          </w:tcPr>
          <w:p>
            <w:pPr>
              <w:spacing w:after="0"/>
            </w:pPr>
            <w:r>
              <w:rPr>
                <w:rFonts w:ascii="Arial" w:hAnsi="Arial" w:eastAsia="Arial"/>
                <w:b/>
                <w:color w:val="FFFFFF"/>
                <w:sz w:val="16"/>
              </w:rPr>
              <w:t>Purpose</w:t>
            </w:r>
          </w:p>
        </w:tc>
        <w:tc>
          <w:tcPr>
            <w:tcW w:type="dxa" w:w="6768"/>
            <w:shd w:fill="17324D"/>
            <w:tcMar>
              <w:top w:w="80" w:type="dxa"/>
              <w:start w:w="70" w:type="dxa"/>
              <w:bottom w:w="80" w:type="dxa"/>
              <w:end w:w="70" w:type="dxa"/>
            </w:tcMar>
            <w:vAlign w:val="center"/>
          </w:tcPr>
          <w:p>
            <w:pPr>
              <w:spacing w:after="0"/>
            </w:pPr>
            <w:r>
              <w:rPr>
                <w:rFonts w:ascii="Arial" w:hAnsi="Arial" w:eastAsia="Arial"/>
                <w:b/>
                <w:color w:val="FFFFFF"/>
                <w:sz w:val="16"/>
              </w:rPr>
              <w:t>Command or path</w:t>
            </w:r>
          </w:p>
        </w:tc>
      </w:tr>
      <w:tr>
        <w:trPr>
          <w:cantSplit/>
          <w:trHeight w:hRule="atLeast"/>
        </w:trPr>
        <w:tc>
          <w:tcPr>
            <w:tcW w:type="dxa" w:w="2880"/>
            <w:vAlign w:val="top"/>
            <w:tcMar>
              <w:top w:w="65" w:type="dxa"/>
              <w:start w:w="65" w:type="dxa"/>
              <w:bottom w:w="65" w:type="dxa"/>
              <w:end w:w="65" w:type="dxa"/>
            </w:tcMar>
          </w:tcPr>
          <w:p>
            <w:pPr>
              <w:spacing w:after="0" w:line="240" w:lineRule="auto"/>
            </w:pPr>
            <w:r>
              <w:rPr>
                <w:rFonts w:ascii="Arial" w:hAnsi="Arial" w:eastAsia="Arial"/>
                <w:color w:val="202B36"/>
                <w:sz w:val="16"/>
              </w:rPr>
              <w:t>Build analytic table</w:t>
            </w:r>
          </w:p>
        </w:tc>
        <w:tc>
          <w:tcPr>
            <w:tcW w:type="dxa" w:w="6768"/>
            <w:vAlign w:val="top"/>
            <w:tcMar>
              <w:top w:w="65" w:type="dxa"/>
              <w:start w:w="65" w:type="dxa"/>
              <w:bottom w:w="65" w:type="dxa"/>
              <w:end w:w="65" w:type="dxa"/>
            </w:tcMar>
          </w:tcPr>
          <w:p>
            <w:pPr>
              <w:spacing w:after="0" w:line="240" w:lineRule="auto"/>
            </w:pPr>
            <w:r>
              <w:rPr>
                <w:rFonts w:ascii="Arial" w:hAnsi="Arial" w:eastAsia="Arial"/>
                <w:color w:val="202B36"/>
                <w:sz w:val="16"/>
              </w:rPr>
              <w:t>python src/build_session_dataset.py</w:t>
            </w:r>
          </w:p>
        </w:tc>
      </w:tr>
      <w:tr>
        <w:trPr>
          <w:cantSplit/>
          <w:trHeight w:hRule="atLeast"/>
        </w:trPr>
        <w:tc>
          <w:tcPr>
            <w:tcW w:type="dxa" w:w="2880"/>
            <w:vAlign w:val="top"/>
            <w:tcMar>
              <w:top w:w="65" w:type="dxa"/>
              <w:start w:w="65" w:type="dxa"/>
              <w:bottom w:w="65" w:type="dxa"/>
              <w:end w:w="65" w:type="dxa"/>
            </w:tcMar>
            <w:shd w:fill="F7FAFC"/>
          </w:tcPr>
          <w:p>
            <w:pPr>
              <w:spacing w:after="0" w:line="240" w:lineRule="auto"/>
            </w:pPr>
            <w:r>
              <w:rPr>
                <w:rFonts w:ascii="Arial" w:hAnsi="Arial" w:eastAsia="Arial"/>
                <w:color w:val="202B36"/>
                <w:sz w:val="16"/>
              </w:rPr>
              <w:t>Regenerate audit and figures</w:t>
            </w:r>
          </w:p>
        </w:tc>
        <w:tc>
          <w:tcPr>
            <w:tcW w:type="dxa" w:w="6768"/>
            <w:vAlign w:val="top"/>
            <w:tcMar>
              <w:top w:w="65" w:type="dxa"/>
              <w:start w:w="65" w:type="dxa"/>
              <w:bottom w:w="65" w:type="dxa"/>
              <w:end w:w="65" w:type="dxa"/>
            </w:tcMar>
            <w:shd w:fill="F7FAFC"/>
          </w:tcPr>
          <w:p>
            <w:pPr>
              <w:spacing w:after="0" w:line="240" w:lineRule="auto"/>
            </w:pPr>
            <w:r>
              <w:rPr>
                <w:rFonts w:ascii="Arial" w:hAnsi="Arial" w:eastAsia="Arial"/>
                <w:color w:val="202B36"/>
                <w:sz w:val="16"/>
              </w:rPr>
              <w:t>python src/generate_step2_assets.py</w:t>
            </w:r>
          </w:p>
        </w:tc>
      </w:tr>
      <w:tr>
        <w:trPr>
          <w:cantSplit/>
          <w:trHeight w:hRule="atLeast"/>
        </w:trPr>
        <w:tc>
          <w:tcPr>
            <w:tcW w:type="dxa" w:w="2880"/>
            <w:vAlign w:val="top"/>
            <w:tcMar>
              <w:top w:w="65" w:type="dxa"/>
              <w:start w:w="65" w:type="dxa"/>
              <w:bottom w:w="65" w:type="dxa"/>
              <w:end w:w="65" w:type="dxa"/>
            </w:tcMar>
          </w:tcPr>
          <w:p>
            <w:pPr>
              <w:spacing w:after="0" w:line="240" w:lineRule="auto"/>
            </w:pPr>
            <w:r>
              <w:rPr>
                <w:rFonts w:ascii="Arial" w:hAnsi="Arial" w:eastAsia="Arial"/>
                <w:color w:val="202B36"/>
                <w:sz w:val="16"/>
              </w:rPr>
              <w:t>Regenerate dictionary workbook</w:t>
            </w:r>
          </w:p>
        </w:tc>
        <w:tc>
          <w:tcPr>
            <w:tcW w:type="dxa" w:w="6768"/>
            <w:vAlign w:val="top"/>
            <w:tcMar>
              <w:top w:w="65" w:type="dxa"/>
              <w:start w:w="65" w:type="dxa"/>
              <w:bottom w:w="65" w:type="dxa"/>
              <w:end w:w="65" w:type="dxa"/>
            </w:tcMar>
          </w:tcPr>
          <w:p>
            <w:pPr>
              <w:spacing w:after="0" w:line="240" w:lineRule="auto"/>
            </w:pPr>
            <w:r>
              <w:rPr>
                <w:rFonts w:ascii="Arial" w:hAnsi="Arial" w:eastAsia="Arial"/>
                <w:color w:val="202B36"/>
                <w:sz w:val="16"/>
              </w:rPr>
              <w:t>node src/create_step2_dictionary_workbook.mjs</w:t>
            </w:r>
          </w:p>
        </w:tc>
      </w:tr>
      <w:tr>
        <w:trPr>
          <w:cantSplit/>
          <w:trHeight w:hRule="atLeast"/>
        </w:trPr>
        <w:tc>
          <w:tcPr>
            <w:tcW w:type="dxa" w:w="2880"/>
            <w:vAlign w:val="top"/>
            <w:tcMar>
              <w:top w:w="65" w:type="dxa"/>
              <w:start w:w="65" w:type="dxa"/>
              <w:bottom w:w="65" w:type="dxa"/>
              <w:end w:w="65" w:type="dxa"/>
            </w:tcMar>
            <w:shd w:fill="F7FAFC"/>
          </w:tcPr>
          <w:p>
            <w:pPr>
              <w:spacing w:after="0" w:line="240" w:lineRule="auto"/>
            </w:pPr>
            <w:r>
              <w:rPr>
                <w:rFonts w:ascii="Arial" w:hAnsi="Arial" w:eastAsia="Arial"/>
                <w:color w:val="202B36"/>
                <w:sz w:val="16"/>
              </w:rPr>
              <w:t>Regenerate this report</w:t>
            </w:r>
          </w:p>
        </w:tc>
        <w:tc>
          <w:tcPr>
            <w:tcW w:type="dxa" w:w="6768"/>
            <w:vAlign w:val="top"/>
            <w:tcMar>
              <w:top w:w="65" w:type="dxa"/>
              <w:start w:w="65" w:type="dxa"/>
              <w:bottom w:w="65" w:type="dxa"/>
              <w:end w:w="65" w:type="dxa"/>
            </w:tcMar>
            <w:shd w:fill="F7FAFC"/>
          </w:tcPr>
          <w:p>
            <w:pPr>
              <w:spacing w:after="0" w:line="240" w:lineRule="auto"/>
            </w:pPr>
            <w:r>
              <w:rPr>
                <w:rFonts w:ascii="Arial" w:hAnsi="Arial" w:eastAsia="Arial"/>
                <w:color w:val="202B36"/>
                <w:sz w:val="16"/>
              </w:rPr>
              <w:t>python src/create_step2_report.py</w:t>
            </w:r>
          </w:p>
        </w:tc>
      </w:tr>
      <w:tr>
        <w:trPr>
          <w:cantSplit/>
          <w:trHeight w:hRule="atLeast"/>
        </w:trPr>
        <w:tc>
          <w:tcPr>
            <w:tcW w:type="dxa" w:w="2880"/>
            <w:vAlign w:val="top"/>
            <w:tcMar>
              <w:top w:w="65" w:type="dxa"/>
              <w:start w:w="65" w:type="dxa"/>
              <w:bottom w:w="65" w:type="dxa"/>
              <w:end w:w="65" w:type="dxa"/>
            </w:tcMar>
          </w:tcPr>
          <w:p>
            <w:pPr>
              <w:spacing w:after="0" w:line="240" w:lineRule="auto"/>
            </w:pPr>
            <w:r>
              <w:rPr>
                <w:rFonts w:ascii="Arial" w:hAnsi="Arial" w:eastAsia="Arial"/>
                <w:color w:val="202B36"/>
                <w:sz w:val="16"/>
              </w:rPr>
              <w:t>Analysis-ready dataset</w:t>
            </w:r>
          </w:p>
        </w:tc>
        <w:tc>
          <w:tcPr>
            <w:tcW w:type="dxa" w:w="6768"/>
            <w:vAlign w:val="top"/>
            <w:tcMar>
              <w:top w:w="65" w:type="dxa"/>
              <w:start w:w="65" w:type="dxa"/>
              <w:bottom w:w="65" w:type="dxa"/>
              <w:end w:w="65" w:type="dxa"/>
            </w:tcMar>
          </w:tcPr>
          <w:p>
            <w:pPr>
              <w:spacing w:after="0" w:line="240" w:lineRule="auto"/>
            </w:pPr>
            <w:r>
              <w:rPr>
                <w:rFonts w:ascii="Arial" w:hAnsi="Arial" w:eastAsia="Arial"/>
                <w:color w:val="202B36"/>
                <w:sz w:val="16"/>
              </w:rPr>
              <w:t>data/processed/hemobp_session_level.csv.gz</w:t>
            </w:r>
          </w:p>
        </w:tc>
      </w:tr>
      <w:tr>
        <w:trPr>
          <w:cantSplit/>
          <w:trHeight w:hRule="atLeast"/>
        </w:trPr>
        <w:tc>
          <w:tcPr>
            <w:tcW w:type="dxa" w:w="2880"/>
            <w:vAlign w:val="top"/>
            <w:tcMar>
              <w:top w:w="65" w:type="dxa"/>
              <w:start w:w="65" w:type="dxa"/>
              <w:bottom w:w="65" w:type="dxa"/>
              <w:end w:w="65" w:type="dxa"/>
            </w:tcMar>
            <w:shd w:fill="F7FAFC"/>
          </w:tcPr>
          <w:p>
            <w:pPr>
              <w:spacing w:after="0" w:line="240" w:lineRule="auto"/>
            </w:pPr>
            <w:r>
              <w:rPr>
                <w:rFonts w:ascii="Arial" w:hAnsi="Arial" w:eastAsia="Arial"/>
                <w:color w:val="202B36"/>
                <w:sz w:val="16"/>
              </w:rPr>
              <w:t>Machine-readable audit</w:t>
            </w:r>
          </w:p>
        </w:tc>
        <w:tc>
          <w:tcPr>
            <w:tcW w:type="dxa" w:w="6768"/>
            <w:vAlign w:val="top"/>
            <w:tcMar>
              <w:top w:w="65" w:type="dxa"/>
              <w:start w:w="65" w:type="dxa"/>
              <w:bottom w:w="65" w:type="dxa"/>
              <w:end w:w="65" w:type="dxa"/>
            </w:tcMar>
            <w:shd w:fill="F7FAFC"/>
          </w:tcPr>
          <w:p>
            <w:pPr>
              <w:spacing w:after="0" w:line="240" w:lineRule="auto"/>
            </w:pPr>
            <w:r>
              <w:rPr>
                <w:rFonts w:ascii="Arial" w:hAnsi="Arial" w:eastAsia="Arial"/>
                <w:color w:val="202B36"/>
                <w:sz w:val="16"/>
              </w:rPr>
              <w:t>artifacts/step2_dataset_audit.json</w:t>
            </w:r>
          </w:p>
        </w:tc>
      </w:tr>
    </w:tbl>
    <w:p>
      <w:pPr>
        <w:spacing w:after="0"/>
      </w:pPr>
    </w:p>
    <w:p>
      <w:pPr>
        <w:pStyle w:val="Heading1"/>
      </w:pPr>
      <w:r>
        <w:t>References</w:t>
      </w:r>
    </w:p>
    <w:p>
      <w:pPr>
        <w:spacing w:after="100"/>
      </w:pPr>
      <w:r>
        <w:rPr>
          <w:rFonts w:ascii="Arial" w:hAnsi="Arial" w:eastAsia="Arial"/>
          <w:i w:val="0"/>
          <w:color w:val="202B36"/>
        </w:rPr>
        <w:t>[1] Lin CJ, Chen YY, Pan CF, Wu V, Wu CJ. Dataset supporting blood pressure prediction for the management of chronic hemodialysis. Scientific Data. 2019;6:313. https://doi.org/10.1038/s41597-019-0319-8</w:t>
      </w:r>
    </w:p>
    <w:p>
      <w:pPr>
        <w:spacing w:after="100"/>
      </w:pPr>
      <w:r>
        <w:rPr>
          <w:rFonts w:ascii="Arial" w:hAnsi="Arial" w:eastAsia="Arial"/>
          <w:i w:val="0"/>
          <w:color w:val="202B36"/>
        </w:rPr>
        <w:t>[2] Chien CY. HEMOBP. Figshare. Version 3. Dataset. 2019. CC BY 4.0. https://doi.org/10.6084/m9.figshare.6260654.v3</w:t>
      </w:r>
    </w:p>
    <w:p>
      <w:pPr>
        <w:pStyle w:val="Heading1"/>
      </w:pPr>
      <w:r>
        <w:t>Data Dictionary Conventions</w:t>
      </w:r>
    </w:p>
    <w:p>
      <w:pPr>
        <w:spacing w:after="100"/>
      </w:pPr>
      <w:r>
        <w:rPr>
          <w:rFonts w:ascii="Arial" w:hAnsi="Arial" w:eastAsia="Arial"/>
          <w:i w:val="0"/>
          <w:color w:val="202B36"/>
        </w:rPr>
        <w:t>The appendices list every field in the three public source files and every field in the session-level analytic table. Observed ranges describe this specific release; they are not universal physiological limits. Missing percentages use the row count of the relevant table as the denominator. Role and availability state whether a field may be used by a model at the index time. The companion spreadsheet preserves additional provenance and quality-note columns for all 63 variables.</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5083"/>
        <w:gridCol w:w="5083"/>
      </w:tblGrid>
      <w:tr>
        <w:trPr>
          <w:tblHeader w:val="true"/>
          <w:cantSplit/>
        </w:trPr>
        <w:tc>
          <w:tcPr>
            <w:tcW w:type="dxa" w:w="2880"/>
            <w:shd w:fill="17324D"/>
            <w:tcMar>
              <w:top w:w="80" w:type="dxa"/>
              <w:start w:w="70" w:type="dxa"/>
              <w:bottom w:w="80" w:type="dxa"/>
              <w:end w:w="70" w:type="dxa"/>
            </w:tcMar>
            <w:vAlign w:val="center"/>
          </w:tcPr>
          <w:p>
            <w:pPr>
              <w:spacing w:after="0"/>
            </w:pPr>
            <w:r>
              <w:rPr>
                <w:rFonts w:ascii="Arial" w:hAnsi="Arial" w:eastAsia="Arial"/>
                <w:b/>
                <w:color w:val="FFFFFF"/>
                <w:sz w:val="16"/>
              </w:rPr>
              <w:t>Dictionary element</w:t>
            </w:r>
          </w:p>
        </w:tc>
        <w:tc>
          <w:tcPr>
            <w:tcW w:type="dxa" w:w="6768"/>
            <w:shd w:fill="17324D"/>
            <w:tcMar>
              <w:top w:w="80" w:type="dxa"/>
              <w:start w:w="70" w:type="dxa"/>
              <w:bottom w:w="80" w:type="dxa"/>
              <w:end w:w="70" w:type="dxa"/>
            </w:tcMar>
            <w:vAlign w:val="center"/>
          </w:tcPr>
          <w:p>
            <w:pPr>
              <w:spacing w:after="0"/>
            </w:pPr>
            <w:r>
              <w:rPr>
                <w:rFonts w:ascii="Arial" w:hAnsi="Arial" w:eastAsia="Arial"/>
                <w:b/>
                <w:color w:val="FFFFFF"/>
                <w:sz w:val="16"/>
              </w:rPr>
              <w:t>Interpretation</w:t>
            </w:r>
          </w:p>
        </w:tc>
      </w:tr>
      <w:tr>
        <w:trPr>
          <w:cantSplit/>
          <w:trHeight w:hRule="atLeast"/>
        </w:trPr>
        <w:tc>
          <w:tcPr>
            <w:tcW w:type="dxa" w:w="2880"/>
            <w:vAlign w:val="top"/>
            <w:tcMar>
              <w:top w:w="65" w:type="dxa"/>
              <w:start w:w="65" w:type="dxa"/>
              <w:bottom w:w="65" w:type="dxa"/>
              <w:end w:w="65" w:type="dxa"/>
            </w:tcMar>
          </w:tcPr>
          <w:p>
            <w:pPr>
              <w:spacing w:after="0" w:line="240" w:lineRule="auto"/>
            </w:pPr>
            <w:r>
              <w:rPr>
                <w:rFonts w:ascii="Arial" w:hAnsi="Arial" w:eastAsia="Arial"/>
                <w:color w:val="202B36"/>
                <w:sz w:val="16"/>
              </w:rPr>
              <w:t>Variable</w:t>
            </w:r>
          </w:p>
        </w:tc>
        <w:tc>
          <w:tcPr>
            <w:tcW w:type="dxa" w:w="6768"/>
            <w:vAlign w:val="top"/>
            <w:tcMar>
              <w:top w:w="65" w:type="dxa"/>
              <w:start w:w="65" w:type="dxa"/>
              <w:bottom w:w="65" w:type="dxa"/>
              <w:end w:w="65" w:type="dxa"/>
            </w:tcMar>
          </w:tcPr>
          <w:p>
            <w:pPr>
              <w:spacing w:after="0" w:line="240" w:lineRule="auto"/>
            </w:pPr>
            <w:r>
              <w:rPr>
                <w:rFonts w:ascii="Arial" w:hAnsi="Arial" w:eastAsia="Arial"/>
                <w:color w:val="202B36"/>
                <w:sz w:val="16"/>
              </w:rPr>
              <w:t>Exact column name used in the corresponding CSV file</w:t>
            </w:r>
          </w:p>
        </w:tc>
      </w:tr>
      <w:tr>
        <w:trPr>
          <w:cantSplit/>
          <w:trHeight w:hRule="atLeast"/>
        </w:trPr>
        <w:tc>
          <w:tcPr>
            <w:tcW w:type="dxa" w:w="2880"/>
            <w:vAlign w:val="top"/>
            <w:tcMar>
              <w:top w:w="65" w:type="dxa"/>
              <w:start w:w="65" w:type="dxa"/>
              <w:bottom w:w="65" w:type="dxa"/>
              <w:end w:w="65" w:type="dxa"/>
            </w:tcMar>
            <w:shd w:fill="F7FAFC"/>
          </w:tcPr>
          <w:p>
            <w:pPr>
              <w:spacing w:after="0" w:line="240" w:lineRule="auto"/>
            </w:pPr>
            <w:r>
              <w:rPr>
                <w:rFonts w:ascii="Arial" w:hAnsi="Arial" w:eastAsia="Arial"/>
                <w:color w:val="202B36"/>
                <w:sz w:val="16"/>
              </w:rPr>
              <w:t>Type</w:t>
            </w:r>
          </w:p>
        </w:tc>
        <w:tc>
          <w:tcPr>
            <w:tcW w:type="dxa" w:w="6768"/>
            <w:vAlign w:val="top"/>
            <w:tcMar>
              <w:top w:w="65" w:type="dxa"/>
              <w:start w:w="65" w:type="dxa"/>
              <w:bottom w:w="65" w:type="dxa"/>
              <w:end w:w="65" w:type="dxa"/>
            </w:tcMar>
            <w:shd w:fill="F7FAFC"/>
          </w:tcPr>
          <w:p>
            <w:pPr>
              <w:spacing w:after="0" w:line="240" w:lineRule="auto"/>
            </w:pPr>
            <w:r>
              <w:rPr>
                <w:rFonts w:ascii="Arial" w:hAnsi="Arial" w:eastAsia="Arial"/>
                <w:color w:val="202B36"/>
                <w:sz w:val="16"/>
              </w:rPr>
              <w:t>Logical data type after parsing; source files may store values as text</w:t>
            </w:r>
          </w:p>
        </w:tc>
      </w:tr>
      <w:tr>
        <w:trPr>
          <w:cantSplit/>
          <w:trHeight w:hRule="atLeast"/>
        </w:trPr>
        <w:tc>
          <w:tcPr>
            <w:tcW w:type="dxa" w:w="2880"/>
            <w:vAlign w:val="top"/>
            <w:tcMar>
              <w:top w:w="65" w:type="dxa"/>
              <w:start w:w="65" w:type="dxa"/>
              <w:bottom w:w="65" w:type="dxa"/>
              <w:end w:w="65" w:type="dxa"/>
            </w:tcMar>
          </w:tcPr>
          <w:p>
            <w:pPr>
              <w:spacing w:after="0" w:line="240" w:lineRule="auto"/>
            </w:pPr>
            <w:r>
              <w:rPr>
                <w:rFonts w:ascii="Arial" w:hAnsi="Arial" w:eastAsia="Arial"/>
                <w:color w:val="202B36"/>
                <w:sz w:val="16"/>
              </w:rPr>
              <w:t>Unit</w:t>
            </w:r>
          </w:p>
        </w:tc>
        <w:tc>
          <w:tcPr>
            <w:tcW w:type="dxa" w:w="6768"/>
            <w:vAlign w:val="top"/>
            <w:tcMar>
              <w:top w:w="65" w:type="dxa"/>
              <w:start w:w="65" w:type="dxa"/>
              <w:bottom w:w="65" w:type="dxa"/>
              <w:end w:w="65" w:type="dxa"/>
            </w:tcMar>
          </w:tcPr>
          <w:p>
            <w:pPr>
              <w:spacing w:after="0" w:line="240" w:lineRule="auto"/>
            </w:pPr>
            <w:r>
              <w:rPr>
                <w:rFonts w:ascii="Arial" w:hAnsi="Arial" w:eastAsia="Arial"/>
                <w:color w:val="202B36"/>
                <w:sz w:val="16"/>
              </w:rPr>
              <w:t>Physical or coding unit; source-defined index is used where the publication does not document a unit</w:t>
            </w:r>
          </w:p>
        </w:tc>
      </w:tr>
      <w:tr>
        <w:trPr>
          <w:cantSplit/>
          <w:trHeight w:hRule="atLeast"/>
        </w:trPr>
        <w:tc>
          <w:tcPr>
            <w:tcW w:type="dxa" w:w="2880"/>
            <w:vAlign w:val="top"/>
            <w:tcMar>
              <w:top w:w="65" w:type="dxa"/>
              <w:start w:w="65" w:type="dxa"/>
              <w:bottom w:w="65" w:type="dxa"/>
              <w:end w:w="65" w:type="dxa"/>
            </w:tcMar>
            <w:shd w:fill="F7FAFC"/>
          </w:tcPr>
          <w:p>
            <w:pPr>
              <w:spacing w:after="0" w:line="240" w:lineRule="auto"/>
            </w:pPr>
            <w:r>
              <w:rPr>
                <w:rFonts w:ascii="Arial" w:hAnsi="Arial" w:eastAsia="Arial"/>
                <w:color w:val="202B36"/>
                <w:sz w:val="16"/>
              </w:rPr>
              <w:t>Values or observed range</w:t>
            </w:r>
          </w:p>
        </w:tc>
        <w:tc>
          <w:tcPr>
            <w:tcW w:type="dxa" w:w="6768"/>
            <w:vAlign w:val="top"/>
            <w:tcMar>
              <w:top w:w="65" w:type="dxa"/>
              <w:start w:w="65" w:type="dxa"/>
              <w:bottom w:w="65" w:type="dxa"/>
              <w:end w:w="65" w:type="dxa"/>
            </w:tcMar>
            <w:shd w:fill="F7FAFC"/>
          </w:tcPr>
          <w:p>
            <w:pPr>
              <w:spacing w:after="0" w:line="240" w:lineRule="auto"/>
            </w:pPr>
            <w:r>
              <w:rPr>
                <w:rFonts w:ascii="Arial" w:hAnsi="Arial" w:eastAsia="Arial"/>
                <w:color w:val="202B36"/>
                <w:sz w:val="16"/>
              </w:rPr>
              <w:t>Allowed codes for categories or minimum-to-maximum values observed in the audited release</w:t>
            </w:r>
          </w:p>
        </w:tc>
      </w:tr>
      <w:tr>
        <w:trPr>
          <w:cantSplit/>
          <w:trHeight w:hRule="atLeast"/>
        </w:trPr>
        <w:tc>
          <w:tcPr>
            <w:tcW w:type="dxa" w:w="2880"/>
            <w:vAlign w:val="top"/>
            <w:tcMar>
              <w:top w:w="65" w:type="dxa"/>
              <w:start w:w="65" w:type="dxa"/>
              <w:bottom w:w="65" w:type="dxa"/>
              <w:end w:w="65" w:type="dxa"/>
            </w:tcMar>
          </w:tcPr>
          <w:p>
            <w:pPr>
              <w:spacing w:after="0" w:line="240" w:lineRule="auto"/>
            </w:pPr>
            <w:r>
              <w:rPr>
                <w:rFonts w:ascii="Arial" w:hAnsi="Arial" w:eastAsia="Arial"/>
                <w:color w:val="202B36"/>
                <w:sz w:val="16"/>
              </w:rPr>
              <w:t>Missing</w:t>
            </w:r>
          </w:p>
        </w:tc>
        <w:tc>
          <w:tcPr>
            <w:tcW w:type="dxa" w:w="6768"/>
            <w:vAlign w:val="top"/>
            <w:tcMar>
              <w:top w:w="65" w:type="dxa"/>
              <w:start w:w="65" w:type="dxa"/>
              <w:bottom w:w="65" w:type="dxa"/>
              <w:end w:w="65" w:type="dxa"/>
            </w:tcMar>
          </w:tcPr>
          <w:p>
            <w:pPr>
              <w:spacing w:after="0" w:line="240" w:lineRule="auto"/>
            </w:pPr>
            <w:r>
              <w:rPr>
                <w:rFonts w:ascii="Arial" w:hAnsi="Arial" w:eastAsia="Arial"/>
                <w:color w:val="202B36"/>
                <w:sz w:val="16"/>
              </w:rPr>
              <w:t>Number and percentage of rows encoded as null after parsing</w:t>
            </w:r>
          </w:p>
        </w:tc>
      </w:tr>
      <w:tr>
        <w:trPr>
          <w:cantSplit/>
          <w:trHeight w:hRule="atLeast"/>
        </w:trPr>
        <w:tc>
          <w:tcPr>
            <w:tcW w:type="dxa" w:w="2880"/>
            <w:vAlign w:val="top"/>
            <w:tcMar>
              <w:top w:w="65" w:type="dxa"/>
              <w:start w:w="65" w:type="dxa"/>
              <w:bottom w:w="65" w:type="dxa"/>
              <w:end w:w="65" w:type="dxa"/>
            </w:tcMar>
            <w:shd w:fill="F7FAFC"/>
          </w:tcPr>
          <w:p>
            <w:pPr>
              <w:spacing w:after="0" w:line="240" w:lineRule="auto"/>
            </w:pPr>
            <w:r>
              <w:rPr>
                <w:rFonts w:ascii="Arial" w:hAnsi="Arial" w:eastAsia="Arial"/>
                <w:color w:val="202B36"/>
                <w:sz w:val="16"/>
              </w:rPr>
              <w:t>Role and availability</w:t>
            </w:r>
          </w:p>
        </w:tc>
        <w:tc>
          <w:tcPr>
            <w:tcW w:type="dxa" w:w="6768"/>
            <w:vAlign w:val="top"/>
            <w:tcMar>
              <w:top w:w="65" w:type="dxa"/>
              <w:start w:w="65" w:type="dxa"/>
              <w:bottom w:w="65" w:type="dxa"/>
              <w:end w:w="65" w:type="dxa"/>
            </w:tcMar>
            <w:shd w:fill="F7FAFC"/>
          </w:tcPr>
          <w:p>
            <w:pPr>
              <w:spacing w:after="0" w:line="240" w:lineRule="auto"/>
            </w:pPr>
            <w:r>
              <w:rPr>
                <w:rFonts w:ascii="Arial" w:hAnsi="Arial" w:eastAsia="Arial"/>
                <w:color w:val="202B36"/>
                <w:sz w:val="16"/>
              </w:rPr>
              <w:t>Purpose in the analytic design and whether it exists before, at, or after prediction time</w:t>
            </w:r>
          </w:p>
        </w:tc>
      </w:tr>
    </w:tbl>
    <w:p>
      <w:pPr>
        <w:spacing w:after="0"/>
      </w:pPr>
    </w:p>
    <w:p>
      <w:pPr>
        <w:sectPr>
          <w:headerReference w:type="default" r:id="rId14"/>
          <w:footerReference w:type="default" r:id="rId15"/>
          <w:pgSz w:w="12240" w:h="15840"/>
          <w:pgMar w:top="979" w:right="1037" w:bottom="1123" w:left="1037" w:header="403" w:footer="432" w:gutter="0"/>
          <w:cols w:space="720"/>
          <w:titlePg/>
          <w:docGrid w:linePitch="360"/>
        </w:sectPr>
      </w:pPr>
    </w:p>
    <w:p>
      <w:pPr>
        <w:pStyle w:val="Heading1"/>
      </w:pPr>
      <w:r>
        <w:t>Appendix A Raw Source Data Dictionary</w:t>
      </w:r>
    </w:p>
    <w:p>
      <w:pPr>
        <w:spacing w:after="100"/>
      </w:pPr>
      <w:r>
        <w:rPr>
          <w:rFonts w:ascii="Arial" w:hAnsi="Arial" w:eastAsia="Arial"/>
          <w:i w:val="0"/>
          <w:color w:val="202B36"/>
        </w:rPr>
        <w:t>The raw dictionary contains 23 variables across Idp, Hemrec D1, and Hemrec VIP. Raw values are never overwritten.</w:t>
      </w:r>
    </w:p>
    <w:p>
      <w:pPr>
        <w:pStyle w:val="Heading2"/>
      </w:pPr>
      <w:r>
        <w:t>Idp</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2037"/>
        <w:gridCol w:w="2037"/>
        <w:gridCol w:w="2037"/>
        <w:gridCol w:w="2037"/>
        <w:gridCol w:w="2037"/>
        <w:gridCol w:w="2037"/>
        <w:gridCol w:w="2037"/>
      </w:tblGrid>
      <w:tr>
        <w:trPr>
          <w:tblHeader w:val="true"/>
          <w:cantSplit/>
        </w:trPr>
        <w:tc>
          <w:tcPr>
            <w:tcW w:type="dxa" w:w="1656"/>
            <w:shd w:fill="17324D"/>
            <w:tcMar>
              <w:top w:w="80" w:type="dxa"/>
              <w:start w:w="70" w:type="dxa"/>
              <w:bottom w:w="80" w:type="dxa"/>
              <w:end w:w="70" w:type="dxa"/>
            </w:tcMar>
            <w:vAlign w:val="center"/>
          </w:tcPr>
          <w:p>
            <w:pPr>
              <w:spacing w:after="0"/>
            </w:pPr>
            <w:r>
              <w:rPr>
                <w:rFonts w:ascii="Arial" w:hAnsi="Arial" w:eastAsia="Arial"/>
                <w:b/>
                <w:color w:val="FFFFFF"/>
                <w:sz w:val="14"/>
              </w:rPr>
              <w:t>Variable</w:t>
            </w:r>
          </w:p>
        </w:tc>
        <w:tc>
          <w:tcPr>
            <w:tcW w:type="dxa" w:w="1037"/>
            <w:shd w:fill="17324D"/>
            <w:tcMar>
              <w:top w:w="80" w:type="dxa"/>
              <w:start w:w="70" w:type="dxa"/>
              <w:bottom w:w="80" w:type="dxa"/>
              <w:end w:w="70" w:type="dxa"/>
            </w:tcMar>
            <w:vAlign w:val="center"/>
          </w:tcPr>
          <w:p>
            <w:pPr>
              <w:spacing w:after="0"/>
            </w:pPr>
            <w:r>
              <w:rPr>
                <w:rFonts w:ascii="Arial" w:hAnsi="Arial" w:eastAsia="Arial"/>
                <w:b/>
                <w:color w:val="FFFFFF"/>
                <w:sz w:val="14"/>
              </w:rPr>
              <w:t>Type</w:t>
            </w:r>
          </w:p>
        </w:tc>
        <w:tc>
          <w:tcPr>
            <w:tcW w:type="dxa" w:w="1325"/>
            <w:shd w:fill="17324D"/>
            <w:tcMar>
              <w:top w:w="80" w:type="dxa"/>
              <w:start w:w="70" w:type="dxa"/>
              <w:bottom w:w="80" w:type="dxa"/>
              <w:end w:w="70" w:type="dxa"/>
            </w:tcMar>
            <w:vAlign w:val="center"/>
          </w:tcPr>
          <w:p>
            <w:pPr>
              <w:spacing w:after="0"/>
            </w:pPr>
            <w:r>
              <w:rPr>
                <w:rFonts w:ascii="Arial" w:hAnsi="Arial" w:eastAsia="Arial"/>
                <w:b/>
                <w:color w:val="FFFFFF"/>
                <w:sz w:val="14"/>
              </w:rPr>
              <w:t>Unit</w:t>
            </w:r>
          </w:p>
        </w:tc>
        <w:tc>
          <w:tcPr>
            <w:tcW w:type="dxa" w:w="2232"/>
            <w:shd w:fill="17324D"/>
            <w:tcMar>
              <w:top w:w="80" w:type="dxa"/>
              <w:start w:w="70" w:type="dxa"/>
              <w:bottom w:w="80" w:type="dxa"/>
              <w:end w:w="70" w:type="dxa"/>
            </w:tcMar>
            <w:vAlign w:val="center"/>
          </w:tcPr>
          <w:p>
            <w:pPr>
              <w:spacing w:after="0"/>
            </w:pPr>
            <w:r>
              <w:rPr>
                <w:rFonts w:ascii="Arial" w:hAnsi="Arial" w:eastAsia="Arial"/>
                <w:b/>
                <w:color w:val="FFFFFF"/>
                <w:sz w:val="14"/>
              </w:rPr>
              <w:t>Values or observed range</w:t>
            </w:r>
          </w:p>
        </w:tc>
        <w:tc>
          <w:tcPr>
            <w:tcW w:type="dxa" w:w="1123"/>
            <w:shd w:fill="17324D"/>
            <w:tcMar>
              <w:top w:w="80" w:type="dxa"/>
              <w:start w:w="70" w:type="dxa"/>
              <w:bottom w:w="80" w:type="dxa"/>
              <w:end w:w="70" w:type="dxa"/>
            </w:tcMar>
            <w:vAlign w:val="center"/>
          </w:tcPr>
          <w:p>
            <w:pPr>
              <w:spacing w:after="0"/>
            </w:pPr>
            <w:r>
              <w:rPr>
                <w:rFonts w:ascii="Arial" w:hAnsi="Arial" w:eastAsia="Arial"/>
                <w:b/>
                <w:color w:val="FFFFFF"/>
                <w:sz w:val="14"/>
              </w:rPr>
              <w:t>Missing</w:t>
            </w:r>
          </w:p>
        </w:tc>
        <w:tc>
          <w:tcPr>
            <w:tcW w:type="dxa" w:w="3096"/>
            <w:shd w:fill="17324D"/>
            <w:tcMar>
              <w:top w:w="80" w:type="dxa"/>
              <w:start w:w="70" w:type="dxa"/>
              <w:bottom w:w="80" w:type="dxa"/>
              <w:end w:w="70" w:type="dxa"/>
            </w:tcMar>
            <w:vAlign w:val="center"/>
          </w:tcPr>
          <w:p>
            <w:pPr>
              <w:spacing w:after="0"/>
            </w:pPr>
            <w:r>
              <w:rPr>
                <w:rFonts w:ascii="Arial" w:hAnsi="Arial" w:eastAsia="Arial"/>
                <w:b/>
                <w:color w:val="FFFFFF"/>
                <w:sz w:val="14"/>
              </w:rPr>
              <w:t>Definition</w:t>
            </w:r>
          </w:p>
        </w:tc>
        <w:tc>
          <w:tcPr>
            <w:tcW w:type="dxa" w:w="3715"/>
            <w:shd w:fill="17324D"/>
            <w:tcMar>
              <w:top w:w="80" w:type="dxa"/>
              <w:start w:w="70" w:type="dxa"/>
              <w:bottom w:w="80" w:type="dxa"/>
              <w:end w:w="70" w:type="dxa"/>
            </w:tcMar>
            <w:vAlign w:val="center"/>
          </w:tcPr>
          <w:p>
            <w:pPr>
              <w:spacing w:after="0"/>
            </w:pPr>
            <w:r>
              <w:rPr>
                <w:rFonts w:ascii="Arial" w:hAnsi="Arial" w:eastAsia="Arial"/>
                <w:b/>
                <w:color w:val="FFFFFF"/>
                <w:sz w:val="14"/>
              </w:rPr>
              <w:t>Analytic role</w:t>
            </w:r>
          </w:p>
        </w:tc>
      </w:tr>
      <w:tr>
        <w:trPr>
          <w:cantSplit/>
          <w:trHeight w:hRule="atLeast"/>
        </w:trPr>
        <w:tc>
          <w:tcPr>
            <w:tcW w:type="dxa" w:w="1656"/>
            <w:vAlign w:val="top"/>
            <w:tcMar>
              <w:top w:w="65" w:type="dxa"/>
              <w:start w:w="65" w:type="dxa"/>
              <w:bottom w:w="65" w:type="dxa"/>
              <w:end w:w="65" w:type="dxa"/>
            </w:tcMar>
          </w:tcPr>
          <w:p>
            <w:pPr>
              <w:spacing w:after="0" w:line="240" w:lineRule="auto"/>
            </w:pPr>
            <w:r>
              <w:rPr>
                <w:rFonts w:ascii="Arial" w:hAnsi="Arial" w:eastAsia="Arial"/>
                <w:color w:val="202B36"/>
                <w:sz w:val="14"/>
              </w:rPr>
              <w:t>pid</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string</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none</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4"/>
              </w:rPr>
              <w:t>1,072 unique de-identified IDs</w:t>
            </w:r>
          </w:p>
        </w:tc>
        <w:tc>
          <w:tcPr>
            <w:tcW w:type="dxa" w:w="1123"/>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tcPr>
          <w:p>
            <w:pPr>
              <w:spacing w:after="0" w:line="240" w:lineRule="auto"/>
            </w:pPr>
            <w:r>
              <w:rPr>
                <w:rFonts w:ascii="Arial" w:hAnsi="Arial" w:eastAsia="Arial"/>
                <w:color w:val="202B36"/>
                <w:sz w:val="14"/>
              </w:rPr>
              <w:t>De-identified patient identifier</w:t>
            </w:r>
          </w:p>
        </w:tc>
        <w:tc>
          <w:tcPr>
            <w:tcW w:type="dxa" w:w="3715"/>
            <w:vAlign w:val="top"/>
            <w:tcMar>
              <w:top w:w="65" w:type="dxa"/>
              <w:start w:w="65" w:type="dxa"/>
              <w:bottom w:w="65" w:type="dxa"/>
              <w:end w:w="65" w:type="dxa"/>
            </w:tcMar>
          </w:tcPr>
          <w:p>
            <w:pPr>
              <w:spacing w:after="0" w:line="240" w:lineRule="auto"/>
            </w:pPr>
            <w:r>
              <w:rPr>
                <w:rFonts w:ascii="Arial" w:hAnsi="Arial" w:eastAsia="Arial"/>
                <w:color w:val="202B36"/>
                <w:sz w:val="14"/>
              </w:rPr>
              <w:t>Primary patient key</w:t>
            </w:r>
          </w:p>
        </w:tc>
      </w:tr>
      <w:tr>
        <w:trPr>
          <w:cantSplit/>
          <w:trHeight w:hRule="atLeast"/>
        </w:trPr>
        <w:tc>
          <w:tcPr>
            <w:tcW w:type="dxa" w:w="165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gender</w:t>
            </w:r>
          </w:p>
        </w:tc>
        <w:tc>
          <w:tcPr>
            <w:tcW w:type="dxa" w:w="1037"/>
            <w:vAlign w:val="top"/>
            <w:tcMar>
              <w:top w:w="65" w:type="dxa"/>
              <w:start w:w="65" w:type="dxa"/>
              <w:bottom w:w="65" w:type="dxa"/>
              <w:end w:w="65" w:type="dxa"/>
            </w:tcMar>
            <w:shd w:fill="F7FAFC"/>
          </w:tcPr>
          <w:p>
            <w:pPr>
              <w:spacing w:after="0" w:line="240" w:lineRule="auto"/>
            </w:pPr>
            <w:r>
              <w:rPr>
                <w:rFonts w:ascii="Arial" w:hAnsi="Arial" w:eastAsia="Arial"/>
                <w:color w:val="202B36"/>
                <w:sz w:val="14"/>
              </w:rPr>
              <w:t>categorical</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none</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F or M</w:t>
            </w:r>
          </w:p>
        </w:tc>
        <w:tc>
          <w:tcPr>
            <w:tcW w:type="dxa" w:w="1123"/>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Recorded sex field</w:t>
            </w:r>
          </w:p>
        </w:tc>
        <w:tc>
          <w:tcPr>
            <w:tcW w:type="dxa" w:w="371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Patient characteristic and fairness attribute</w:t>
            </w:r>
          </w:p>
        </w:tc>
      </w:tr>
      <w:tr>
        <w:trPr>
          <w:cantSplit/>
          <w:trHeight w:hRule="atLeast"/>
        </w:trPr>
        <w:tc>
          <w:tcPr>
            <w:tcW w:type="dxa" w:w="1656"/>
            <w:vAlign w:val="top"/>
            <w:tcMar>
              <w:top w:w="65" w:type="dxa"/>
              <w:start w:w="65" w:type="dxa"/>
              <w:bottom w:w="65" w:type="dxa"/>
              <w:end w:w="65" w:type="dxa"/>
            </w:tcMar>
          </w:tcPr>
          <w:p>
            <w:pPr>
              <w:spacing w:after="0" w:line="240" w:lineRule="auto"/>
            </w:pPr>
            <w:r>
              <w:rPr>
                <w:rFonts w:ascii="Arial" w:hAnsi="Arial" w:eastAsia="Arial"/>
                <w:color w:val="202B36"/>
                <w:sz w:val="14"/>
              </w:rPr>
              <w:t>birthday</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integer</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year</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4"/>
              </w:rPr>
              <w:t>1920 to 1998</w:t>
            </w:r>
          </w:p>
        </w:tc>
        <w:tc>
          <w:tcPr>
            <w:tcW w:type="dxa" w:w="1123"/>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tcPr>
          <w:p>
            <w:pPr>
              <w:spacing w:after="0" w:line="240" w:lineRule="auto"/>
            </w:pPr>
            <w:r>
              <w:rPr>
                <w:rFonts w:ascii="Arial" w:hAnsi="Arial" w:eastAsia="Arial"/>
                <w:color w:val="202B36"/>
                <w:sz w:val="14"/>
              </w:rPr>
              <w:t>Recorded birth year</w:t>
            </w:r>
          </w:p>
        </w:tc>
        <w:tc>
          <w:tcPr>
            <w:tcW w:type="dxa" w:w="3715"/>
            <w:vAlign w:val="top"/>
            <w:tcMar>
              <w:top w:w="65" w:type="dxa"/>
              <w:start w:w="65" w:type="dxa"/>
              <w:bottom w:w="65" w:type="dxa"/>
              <w:end w:w="65" w:type="dxa"/>
            </w:tcMar>
          </w:tcPr>
          <w:p>
            <w:pPr>
              <w:spacing w:after="0" w:line="240" w:lineRule="auto"/>
            </w:pPr>
            <w:r>
              <w:rPr>
                <w:rFonts w:ascii="Arial" w:hAnsi="Arial" w:eastAsia="Arial"/>
                <w:color w:val="202B36"/>
                <w:sz w:val="14"/>
              </w:rPr>
              <w:t>Source for age derivation</w:t>
            </w:r>
          </w:p>
        </w:tc>
      </w:tr>
      <w:tr>
        <w:trPr>
          <w:cantSplit/>
          <w:trHeight w:hRule="atLeast"/>
        </w:trPr>
        <w:tc>
          <w:tcPr>
            <w:tcW w:type="dxa" w:w="165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first_dialysis</w:t>
            </w:r>
          </w:p>
        </w:tc>
        <w:tc>
          <w:tcPr>
            <w:tcW w:type="dxa" w:w="1037"/>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date</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year-month</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1990-01 to 2016-02</w:t>
            </w:r>
          </w:p>
        </w:tc>
        <w:tc>
          <w:tcPr>
            <w:tcW w:type="dxa" w:w="1123"/>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Month of first hemodialysis treatment</w:t>
            </w:r>
          </w:p>
        </w:tc>
        <w:tc>
          <w:tcPr>
            <w:tcW w:type="dxa" w:w="371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Source for dialysis vintage</w:t>
            </w:r>
          </w:p>
        </w:tc>
      </w:tr>
      <w:tr>
        <w:trPr>
          <w:cantSplit/>
          <w:trHeight w:hRule="atLeast"/>
        </w:trPr>
        <w:tc>
          <w:tcPr>
            <w:tcW w:type="dxa" w:w="1656"/>
            <w:vAlign w:val="top"/>
            <w:tcMar>
              <w:top w:w="65" w:type="dxa"/>
              <w:start w:w="65" w:type="dxa"/>
              <w:bottom w:w="65" w:type="dxa"/>
              <w:end w:w="65" w:type="dxa"/>
            </w:tcMar>
          </w:tcPr>
          <w:p>
            <w:pPr>
              <w:spacing w:after="0" w:line="240" w:lineRule="auto"/>
            </w:pPr>
            <w:r>
              <w:rPr>
                <w:rFonts w:ascii="Arial" w:hAnsi="Arial" w:eastAsia="Arial"/>
                <w:color w:val="202B36"/>
                <w:sz w:val="14"/>
              </w:rPr>
              <w:t>DM</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binary</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0 or 1</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4"/>
              </w:rPr>
              <w:t>0 = no diabetes; 1 = diabetes</w:t>
            </w:r>
          </w:p>
        </w:tc>
        <w:tc>
          <w:tcPr>
            <w:tcW w:type="dxa" w:w="1123"/>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tcPr>
          <w:p>
            <w:pPr>
              <w:spacing w:after="0" w:line="240" w:lineRule="auto"/>
            </w:pPr>
            <w:r>
              <w:rPr>
                <w:rFonts w:ascii="Arial" w:hAnsi="Arial" w:eastAsia="Arial"/>
                <w:color w:val="202B36"/>
                <w:sz w:val="14"/>
              </w:rPr>
              <w:t>Recorded diabetes status</w:t>
            </w:r>
          </w:p>
        </w:tc>
        <w:tc>
          <w:tcPr>
            <w:tcW w:type="dxa" w:w="3715"/>
            <w:vAlign w:val="top"/>
            <w:tcMar>
              <w:top w:w="65" w:type="dxa"/>
              <w:start w:w="65" w:type="dxa"/>
              <w:bottom w:w="65" w:type="dxa"/>
              <w:end w:w="65" w:type="dxa"/>
            </w:tcMar>
          </w:tcPr>
          <w:p>
            <w:pPr>
              <w:spacing w:after="0" w:line="240" w:lineRule="auto"/>
            </w:pPr>
            <w:r>
              <w:rPr>
                <w:rFonts w:ascii="Arial" w:hAnsi="Arial" w:eastAsia="Arial"/>
                <w:color w:val="202B36"/>
                <w:sz w:val="14"/>
              </w:rPr>
              <w:t>Patient characteristic</w:t>
            </w:r>
          </w:p>
        </w:tc>
      </w:tr>
    </w:tbl>
    <w:p>
      <w:pPr>
        <w:spacing w:after="0"/>
      </w:pPr>
    </w:p>
    <w:p>
      <w:pPr>
        <w:pStyle w:val="Heading2"/>
      </w:pPr>
      <w:r>
        <w:t>Hemrec D1</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2037"/>
        <w:gridCol w:w="2037"/>
        <w:gridCol w:w="2037"/>
        <w:gridCol w:w="2037"/>
        <w:gridCol w:w="2037"/>
        <w:gridCol w:w="2037"/>
        <w:gridCol w:w="2037"/>
      </w:tblGrid>
      <w:tr>
        <w:trPr>
          <w:tblHeader w:val="true"/>
          <w:cantSplit/>
        </w:trPr>
        <w:tc>
          <w:tcPr>
            <w:tcW w:type="dxa" w:w="1656"/>
            <w:shd w:fill="17324D"/>
            <w:tcMar>
              <w:top w:w="80" w:type="dxa"/>
              <w:start w:w="70" w:type="dxa"/>
              <w:bottom w:w="80" w:type="dxa"/>
              <w:end w:w="70" w:type="dxa"/>
            </w:tcMar>
            <w:vAlign w:val="center"/>
          </w:tcPr>
          <w:p>
            <w:pPr>
              <w:spacing w:after="0"/>
            </w:pPr>
            <w:r>
              <w:rPr>
                <w:rFonts w:ascii="Arial" w:hAnsi="Arial" w:eastAsia="Arial"/>
                <w:b/>
                <w:color w:val="FFFFFF"/>
                <w:sz w:val="14"/>
              </w:rPr>
              <w:t>Variable</w:t>
            </w:r>
          </w:p>
        </w:tc>
        <w:tc>
          <w:tcPr>
            <w:tcW w:type="dxa" w:w="1037"/>
            <w:shd w:fill="17324D"/>
            <w:tcMar>
              <w:top w:w="80" w:type="dxa"/>
              <w:start w:w="70" w:type="dxa"/>
              <w:bottom w:w="80" w:type="dxa"/>
              <w:end w:w="70" w:type="dxa"/>
            </w:tcMar>
            <w:vAlign w:val="center"/>
          </w:tcPr>
          <w:p>
            <w:pPr>
              <w:spacing w:after="0"/>
            </w:pPr>
            <w:r>
              <w:rPr>
                <w:rFonts w:ascii="Arial" w:hAnsi="Arial" w:eastAsia="Arial"/>
                <w:b/>
                <w:color w:val="FFFFFF"/>
                <w:sz w:val="14"/>
              </w:rPr>
              <w:t>Type</w:t>
            </w:r>
          </w:p>
        </w:tc>
        <w:tc>
          <w:tcPr>
            <w:tcW w:type="dxa" w:w="1325"/>
            <w:shd w:fill="17324D"/>
            <w:tcMar>
              <w:top w:w="80" w:type="dxa"/>
              <w:start w:w="70" w:type="dxa"/>
              <w:bottom w:w="80" w:type="dxa"/>
              <w:end w:w="70" w:type="dxa"/>
            </w:tcMar>
            <w:vAlign w:val="center"/>
          </w:tcPr>
          <w:p>
            <w:pPr>
              <w:spacing w:after="0"/>
            </w:pPr>
            <w:r>
              <w:rPr>
                <w:rFonts w:ascii="Arial" w:hAnsi="Arial" w:eastAsia="Arial"/>
                <w:b/>
                <w:color w:val="FFFFFF"/>
                <w:sz w:val="14"/>
              </w:rPr>
              <w:t>Unit</w:t>
            </w:r>
          </w:p>
        </w:tc>
        <w:tc>
          <w:tcPr>
            <w:tcW w:type="dxa" w:w="2232"/>
            <w:shd w:fill="17324D"/>
            <w:tcMar>
              <w:top w:w="80" w:type="dxa"/>
              <w:start w:w="70" w:type="dxa"/>
              <w:bottom w:w="80" w:type="dxa"/>
              <w:end w:w="70" w:type="dxa"/>
            </w:tcMar>
            <w:vAlign w:val="center"/>
          </w:tcPr>
          <w:p>
            <w:pPr>
              <w:spacing w:after="0"/>
            </w:pPr>
            <w:r>
              <w:rPr>
                <w:rFonts w:ascii="Arial" w:hAnsi="Arial" w:eastAsia="Arial"/>
                <w:b/>
                <w:color w:val="FFFFFF"/>
                <w:sz w:val="14"/>
              </w:rPr>
              <w:t>Values or observed range</w:t>
            </w:r>
          </w:p>
        </w:tc>
        <w:tc>
          <w:tcPr>
            <w:tcW w:type="dxa" w:w="1123"/>
            <w:shd w:fill="17324D"/>
            <w:tcMar>
              <w:top w:w="80" w:type="dxa"/>
              <w:start w:w="70" w:type="dxa"/>
              <w:bottom w:w="80" w:type="dxa"/>
              <w:end w:w="70" w:type="dxa"/>
            </w:tcMar>
            <w:vAlign w:val="center"/>
          </w:tcPr>
          <w:p>
            <w:pPr>
              <w:spacing w:after="0"/>
            </w:pPr>
            <w:r>
              <w:rPr>
                <w:rFonts w:ascii="Arial" w:hAnsi="Arial" w:eastAsia="Arial"/>
                <w:b/>
                <w:color w:val="FFFFFF"/>
                <w:sz w:val="14"/>
              </w:rPr>
              <w:t>Missing</w:t>
            </w:r>
          </w:p>
        </w:tc>
        <w:tc>
          <w:tcPr>
            <w:tcW w:type="dxa" w:w="3096"/>
            <w:shd w:fill="17324D"/>
            <w:tcMar>
              <w:top w:w="80" w:type="dxa"/>
              <w:start w:w="70" w:type="dxa"/>
              <w:bottom w:w="80" w:type="dxa"/>
              <w:end w:w="70" w:type="dxa"/>
            </w:tcMar>
            <w:vAlign w:val="center"/>
          </w:tcPr>
          <w:p>
            <w:pPr>
              <w:spacing w:after="0"/>
            </w:pPr>
            <w:r>
              <w:rPr>
                <w:rFonts w:ascii="Arial" w:hAnsi="Arial" w:eastAsia="Arial"/>
                <w:b/>
                <w:color w:val="FFFFFF"/>
                <w:sz w:val="14"/>
              </w:rPr>
              <w:t>Definition</w:t>
            </w:r>
          </w:p>
        </w:tc>
        <w:tc>
          <w:tcPr>
            <w:tcW w:type="dxa" w:w="3715"/>
            <w:shd w:fill="17324D"/>
            <w:tcMar>
              <w:top w:w="80" w:type="dxa"/>
              <w:start w:w="70" w:type="dxa"/>
              <w:bottom w:w="80" w:type="dxa"/>
              <w:end w:w="70" w:type="dxa"/>
            </w:tcMar>
            <w:vAlign w:val="center"/>
          </w:tcPr>
          <w:p>
            <w:pPr>
              <w:spacing w:after="0"/>
            </w:pPr>
            <w:r>
              <w:rPr>
                <w:rFonts w:ascii="Arial" w:hAnsi="Arial" w:eastAsia="Arial"/>
                <w:b/>
                <w:color w:val="FFFFFF"/>
                <w:sz w:val="14"/>
              </w:rPr>
              <w:t>Analytic role</w:t>
            </w:r>
          </w:p>
        </w:tc>
      </w:tr>
      <w:tr>
        <w:trPr>
          <w:cantSplit/>
          <w:trHeight w:hRule="atLeast"/>
        </w:trPr>
        <w:tc>
          <w:tcPr>
            <w:tcW w:type="dxa" w:w="1656"/>
            <w:vAlign w:val="top"/>
            <w:tcMar>
              <w:top w:w="65" w:type="dxa"/>
              <w:start w:w="65" w:type="dxa"/>
              <w:bottom w:w="65" w:type="dxa"/>
              <w:end w:w="65" w:type="dxa"/>
            </w:tcMar>
          </w:tcPr>
          <w:p>
            <w:pPr>
              <w:spacing w:after="0" w:line="240" w:lineRule="auto"/>
            </w:pPr>
            <w:r>
              <w:rPr>
                <w:rFonts w:ascii="Arial" w:hAnsi="Arial" w:eastAsia="Arial"/>
                <w:color w:val="202B36"/>
                <w:sz w:val="14"/>
              </w:rPr>
              <w:t>pid</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string</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none</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4"/>
              </w:rPr>
              <w:t>1,072 unique de-identified IDs</w:t>
            </w:r>
          </w:p>
        </w:tc>
        <w:tc>
          <w:tcPr>
            <w:tcW w:type="dxa" w:w="1123"/>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tcPr>
          <w:p>
            <w:pPr>
              <w:spacing w:after="0" w:line="240" w:lineRule="auto"/>
            </w:pPr>
            <w:r>
              <w:rPr>
                <w:rFonts w:ascii="Arial" w:hAnsi="Arial" w:eastAsia="Arial"/>
                <w:color w:val="202B36"/>
                <w:sz w:val="14"/>
              </w:rPr>
              <w:t>De-identified patient identifier</w:t>
            </w:r>
          </w:p>
        </w:tc>
        <w:tc>
          <w:tcPr>
            <w:tcW w:type="dxa" w:w="3715"/>
            <w:vAlign w:val="top"/>
            <w:tcMar>
              <w:top w:w="65" w:type="dxa"/>
              <w:start w:w="65" w:type="dxa"/>
              <w:bottom w:w="65" w:type="dxa"/>
              <w:end w:w="65" w:type="dxa"/>
            </w:tcMar>
          </w:tcPr>
          <w:p>
            <w:pPr>
              <w:spacing w:after="0" w:line="240" w:lineRule="auto"/>
            </w:pPr>
            <w:r>
              <w:rPr>
                <w:rFonts w:ascii="Arial" w:hAnsi="Arial" w:eastAsia="Arial"/>
                <w:color w:val="202B36"/>
                <w:sz w:val="14"/>
              </w:rPr>
              <w:t>Patient linkage key</w:t>
            </w:r>
          </w:p>
        </w:tc>
      </w:tr>
      <w:tr>
        <w:trPr>
          <w:cantSplit/>
          <w:trHeight w:hRule="atLeast"/>
        </w:trPr>
        <w:tc>
          <w:tcPr>
            <w:tcW w:type="dxa" w:w="165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keyindate</w:t>
            </w:r>
          </w:p>
        </w:tc>
        <w:tc>
          <w:tcPr>
            <w:tcW w:type="dxa" w:w="1037"/>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datetime</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timestamp</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2013-06-01 to 2018-05-31</w:t>
            </w:r>
          </w:p>
        </w:tc>
        <w:tc>
          <w:tcPr>
            <w:tcW w:type="dxa" w:w="1123"/>
            <w:vAlign w:val="top"/>
            <w:tcMar>
              <w:top w:w="65" w:type="dxa"/>
              <w:start w:w="65" w:type="dxa"/>
              <w:bottom w:w="65" w:type="dxa"/>
              <w:end w:w="65" w:type="dxa"/>
            </w:tcMar>
            <w:shd w:fill="F7FAFC"/>
          </w:tcPr>
          <w:p>
            <w:pPr>
              <w:spacing w:after="0" w:line="240" w:lineRule="auto"/>
            </w:pPr>
            <w:r>
              <w:rPr>
                <w:rFonts w:ascii="Arial" w:hAnsi="Arial" w:eastAsia="Arial"/>
                <w:color w:val="202B36"/>
                <w:sz w:val="14"/>
              </w:rPr>
              <w:t>128 (0.077%)</w:t>
            </w:r>
          </w:p>
        </w:tc>
        <w:tc>
          <w:tcPr>
            <w:tcW w:type="dxa" w:w="309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Date and time used to identify the dialysis session</w:t>
            </w:r>
          </w:p>
        </w:tc>
        <w:tc>
          <w:tcPr>
            <w:tcW w:type="dxa" w:w="371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Session linkage key</w:t>
            </w:r>
          </w:p>
        </w:tc>
      </w:tr>
      <w:tr>
        <w:trPr>
          <w:cantSplit/>
          <w:trHeight w:hRule="atLeast"/>
        </w:trPr>
        <w:tc>
          <w:tcPr>
            <w:tcW w:type="dxa" w:w="1656"/>
            <w:vAlign w:val="top"/>
            <w:tcMar>
              <w:top w:w="65" w:type="dxa"/>
              <w:start w:w="65" w:type="dxa"/>
              <w:bottom w:w="65" w:type="dxa"/>
              <w:end w:w="65" w:type="dxa"/>
            </w:tcMar>
          </w:tcPr>
          <w:p>
            <w:pPr>
              <w:spacing w:after="0" w:line="240" w:lineRule="auto"/>
            </w:pPr>
            <w:r>
              <w:rPr>
                <w:rFonts w:ascii="Arial" w:hAnsi="Arial" w:eastAsia="Arial"/>
                <w:color w:val="202B36"/>
                <w:sz w:val="14"/>
              </w:rPr>
              <w:t>dialysisstart</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time</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HH:MM</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4"/>
              </w:rPr>
              <w:t>24-hour clock time as stored</w:t>
            </w:r>
          </w:p>
        </w:tc>
        <w:tc>
          <w:tcPr>
            <w:tcW w:type="dxa" w:w="1123"/>
            <w:vAlign w:val="top"/>
            <w:tcMar>
              <w:top w:w="65" w:type="dxa"/>
              <w:start w:w="65" w:type="dxa"/>
              <w:bottom w:w="65" w:type="dxa"/>
              <w:end w:w="65" w:type="dxa"/>
            </w:tcMar>
          </w:tcPr>
          <w:p>
            <w:pPr>
              <w:spacing w:after="0" w:line="240" w:lineRule="auto"/>
            </w:pPr>
            <w:r>
              <w:rPr>
                <w:rFonts w:ascii="Arial" w:hAnsi="Arial" w:eastAsia="Arial"/>
                <w:color w:val="202B36"/>
                <w:sz w:val="14"/>
              </w:rPr>
              <w:t>128 (0.077%)</w:t>
            </w:r>
          </w:p>
        </w:tc>
        <w:tc>
          <w:tcPr>
            <w:tcW w:type="dxa" w:w="3096"/>
            <w:vAlign w:val="top"/>
            <w:tcMar>
              <w:top w:w="65" w:type="dxa"/>
              <w:start w:w="65" w:type="dxa"/>
              <w:bottom w:w="65" w:type="dxa"/>
              <w:end w:w="65" w:type="dxa"/>
            </w:tcMar>
          </w:tcPr>
          <w:p>
            <w:pPr>
              <w:spacing w:after="0" w:line="240" w:lineRule="auto"/>
            </w:pPr>
            <w:r>
              <w:rPr>
                <w:rFonts w:ascii="Arial" w:hAnsi="Arial" w:eastAsia="Arial"/>
                <w:color w:val="202B36"/>
                <w:sz w:val="14"/>
              </w:rPr>
              <w:t>Recorded dialysis start clock time</w:t>
            </w:r>
          </w:p>
        </w:tc>
        <w:tc>
          <w:tcPr>
            <w:tcW w:type="dxa" w:w="3715"/>
            <w:vAlign w:val="top"/>
            <w:tcMar>
              <w:top w:w="65" w:type="dxa"/>
              <w:start w:w="65" w:type="dxa"/>
              <w:bottom w:w="65" w:type="dxa"/>
              <w:end w:w="65" w:type="dxa"/>
            </w:tcMar>
          </w:tcPr>
          <w:p>
            <w:pPr>
              <w:spacing w:after="0" w:line="240" w:lineRule="auto"/>
            </w:pPr>
            <w:r>
              <w:rPr>
                <w:rFonts w:ascii="Arial" w:hAnsi="Arial" w:eastAsia="Arial"/>
                <w:color w:val="202B36"/>
                <w:sz w:val="14"/>
              </w:rPr>
              <w:t>Session audit field</w:t>
            </w:r>
          </w:p>
        </w:tc>
      </w:tr>
      <w:tr>
        <w:trPr>
          <w:cantSplit/>
          <w:trHeight w:hRule="atLeast"/>
        </w:trPr>
        <w:tc>
          <w:tcPr>
            <w:tcW w:type="dxa" w:w="165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dialysisend</w:t>
            </w:r>
          </w:p>
        </w:tc>
        <w:tc>
          <w:tcPr>
            <w:tcW w:type="dxa" w:w="1037"/>
            <w:vAlign w:val="top"/>
            <w:tcMar>
              <w:top w:w="65" w:type="dxa"/>
              <w:start w:w="65" w:type="dxa"/>
              <w:bottom w:w="65" w:type="dxa"/>
              <w:end w:w="65" w:type="dxa"/>
            </w:tcMar>
            <w:shd w:fill="F7FAFC"/>
          </w:tcPr>
          <w:p>
            <w:pPr>
              <w:spacing w:after="0" w:line="240" w:lineRule="auto"/>
            </w:pPr>
            <w:r>
              <w:rPr>
                <w:rFonts w:ascii="Arial" w:hAnsi="Arial" w:eastAsia="Arial"/>
                <w:color w:val="202B36"/>
                <w:sz w:val="14"/>
              </w:rPr>
              <w:t>time</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HH:MM</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24-hour clock time as stored</w:t>
            </w:r>
          </w:p>
        </w:tc>
        <w:tc>
          <w:tcPr>
            <w:tcW w:type="dxa" w:w="1123"/>
            <w:vAlign w:val="top"/>
            <w:tcMar>
              <w:top w:w="65" w:type="dxa"/>
              <w:start w:w="65" w:type="dxa"/>
              <w:bottom w:w="65" w:type="dxa"/>
              <w:end w:w="65" w:type="dxa"/>
            </w:tcMar>
            <w:shd w:fill="F7FAFC"/>
          </w:tcPr>
          <w:p>
            <w:pPr>
              <w:spacing w:after="0" w:line="240" w:lineRule="auto"/>
            </w:pPr>
            <w:r>
              <w:rPr>
                <w:rFonts w:ascii="Arial" w:hAnsi="Arial" w:eastAsia="Arial"/>
                <w:color w:val="202B36"/>
                <w:sz w:val="14"/>
              </w:rPr>
              <w:t>128 (0.077%)</w:t>
            </w:r>
          </w:p>
        </w:tc>
        <w:tc>
          <w:tcPr>
            <w:tcW w:type="dxa" w:w="309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Recorded dialysis end clock time</w:t>
            </w:r>
          </w:p>
        </w:tc>
        <w:tc>
          <w:tcPr>
            <w:tcW w:type="dxa" w:w="371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Post-session audit field</w:t>
            </w:r>
          </w:p>
        </w:tc>
      </w:tr>
      <w:tr>
        <w:trPr>
          <w:cantSplit/>
          <w:trHeight w:hRule="atLeast"/>
        </w:trPr>
        <w:tc>
          <w:tcPr>
            <w:tcW w:type="dxa" w:w="1656"/>
            <w:vAlign w:val="top"/>
            <w:tcMar>
              <w:top w:w="65" w:type="dxa"/>
              <w:start w:w="65" w:type="dxa"/>
              <w:bottom w:w="65" w:type="dxa"/>
              <w:end w:w="65" w:type="dxa"/>
            </w:tcMar>
          </w:tcPr>
          <w:p>
            <w:pPr>
              <w:spacing w:after="0" w:line="240" w:lineRule="auto"/>
            </w:pPr>
            <w:r>
              <w:rPr>
                <w:rFonts w:ascii="Arial" w:hAnsi="Arial" w:eastAsia="Arial"/>
                <w:color w:val="202B36"/>
                <w:sz w:val="14"/>
              </w:rPr>
              <w:t>weightstart</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kg</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4"/>
              </w:rPr>
              <w:t>30.6 to 172.7</w:t>
            </w:r>
          </w:p>
        </w:tc>
        <w:tc>
          <w:tcPr>
            <w:tcW w:type="dxa" w:w="1123"/>
            <w:vAlign w:val="top"/>
            <w:tcMar>
              <w:top w:w="65" w:type="dxa"/>
              <w:start w:w="65" w:type="dxa"/>
              <w:bottom w:w="65" w:type="dxa"/>
              <w:end w:w="65" w:type="dxa"/>
            </w:tcMar>
          </w:tcPr>
          <w:p>
            <w:pPr>
              <w:spacing w:after="0" w:line="240" w:lineRule="auto"/>
            </w:pPr>
            <w:r>
              <w:rPr>
                <w:rFonts w:ascii="Arial" w:hAnsi="Arial" w:eastAsia="Arial"/>
                <w:color w:val="202B36"/>
                <w:sz w:val="14"/>
              </w:rPr>
              <w:t>128 (0.077%)</w:t>
            </w:r>
          </w:p>
        </w:tc>
        <w:tc>
          <w:tcPr>
            <w:tcW w:type="dxa" w:w="3096"/>
            <w:vAlign w:val="top"/>
            <w:tcMar>
              <w:top w:w="65" w:type="dxa"/>
              <w:start w:w="65" w:type="dxa"/>
              <w:bottom w:w="65" w:type="dxa"/>
              <w:end w:w="65" w:type="dxa"/>
            </w:tcMar>
          </w:tcPr>
          <w:p>
            <w:pPr>
              <w:spacing w:after="0" w:line="240" w:lineRule="auto"/>
            </w:pPr>
            <w:r>
              <w:rPr>
                <w:rFonts w:ascii="Arial" w:hAnsi="Arial" w:eastAsia="Arial"/>
                <w:color w:val="202B36"/>
                <w:sz w:val="14"/>
              </w:rPr>
              <w:t>Body weight before dialysis</w:t>
            </w:r>
          </w:p>
        </w:tc>
        <w:tc>
          <w:tcPr>
            <w:tcW w:type="dxa" w:w="3715"/>
            <w:vAlign w:val="top"/>
            <w:tcMar>
              <w:top w:w="65" w:type="dxa"/>
              <w:start w:w="65" w:type="dxa"/>
              <w:bottom w:w="65" w:type="dxa"/>
              <w:end w:w="65" w:type="dxa"/>
            </w:tcMar>
          </w:tcPr>
          <w:p>
            <w:pPr>
              <w:spacing w:after="0" w:line="240" w:lineRule="auto"/>
            </w:pPr>
            <w:r>
              <w:rPr>
                <w:rFonts w:ascii="Arial" w:hAnsi="Arial" w:eastAsia="Arial"/>
                <w:color w:val="202B36"/>
                <w:sz w:val="14"/>
              </w:rPr>
              <w:t>Baseline predictor source</w:t>
            </w:r>
          </w:p>
        </w:tc>
      </w:tr>
      <w:tr>
        <w:trPr>
          <w:cantSplit/>
          <w:trHeight w:hRule="atLeast"/>
        </w:trPr>
        <w:tc>
          <w:tcPr>
            <w:tcW w:type="dxa" w:w="165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weightend</w:t>
            </w:r>
          </w:p>
        </w:tc>
        <w:tc>
          <w:tcPr>
            <w:tcW w:type="dxa" w:w="1037"/>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kg</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30 to 164.1</w:t>
            </w:r>
          </w:p>
        </w:tc>
        <w:tc>
          <w:tcPr>
            <w:tcW w:type="dxa" w:w="1123"/>
            <w:vAlign w:val="top"/>
            <w:tcMar>
              <w:top w:w="65" w:type="dxa"/>
              <w:start w:w="65" w:type="dxa"/>
              <w:bottom w:w="65" w:type="dxa"/>
              <w:end w:w="65" w:type="dxa"/>
            </w:tcMar>
            <w:shd w:fill="F7FAFC"/>
          </w:tcPr>
          <w:p>
            <w:pPr>
              <w:spacing w:after="0" w:line="240" w:lineRule="auto"/>
            </w:pPr>
            <w:r>
              <w:rPr>
                <w:rFonts w:ascii="Arial" w:hAnsi="Arial" w:eastAsia="Arial"/>
                <w:color w:val="202B36"/>
                <w:sz w:val="14"/>
              </w:rPr>
              <w:t>128 (0.077%)</w:t>
            </w:r>
          </w:p>
        </w:tc>
        <w:tc>
          <w:tcPr>
            <w:tcW w:type="dxa" w:w="309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Body weight after dialysis</w:t>
            </w:r>
          </w:p>
        </w:tc>
        <w:tc>
          <w:tcPr>
            <w:tcW w:type="dxa" w:w="371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Post-session field</w:t>
            </w:r>
          </w:p>
        </w:tc>
      </w:tr>
      <w:tr>
        <w:trPr>
          <w:cantSplit/>
          <w:trHeight w:hRule="atLeast"/>
        </w:trPr>
        <w:tc>
          <w:tcPr>
            <w:tcW w:type="dxa" w:w="1656"/>
            <w:vAlign w:val="top"/>
            <w:tcMar>
              <w:top w:w="65" w:type="dxa"/>
              <w:start w:w="65" w:type="dxa"/>
              <w:bottom w:w="65" w:type="dxa"/>
              <w:end w:w="65" w:type="dxa"/>
            </w:tcMar>
          </w:tcPr>
          <w:p>
            <w:pPr>
              <w:spacing w:after="0" w:line="240" w:lineRule="auto"/>
            </w:pPr>
            <w:r>
              <w:rPr>
                <w:rFonts w:ascii="Arial" w:hAnsi="Arial" w:eastAsia="Arial"/>
                <w:color w:val="202B36"/>
                <w:sz w:val="14"/>
              </w:rPr>
              <w:t>dryweight</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kg</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4"/>
              </w:rPr>
              <w:t>30 to 136</w:t>
            </w:r>
          </w:p>
        </w:tc>
        <w:tc>
          <w:tcPr>
            <w:tcW w:type="dxa" w:w="1123"/>
            <w:vAlign w:val="top"/>
            <w:tcMar>
              <w:top w:w="65" w:type="dxa"/>
              <w:start w:w="65" w:type="dxa"/>
              <w:bottom w:w="65" w:type="dxa"/>
              <w:end w:w="65" w:type="dxa"/>
            </w:tcMar>
          </w:tcPr>
          <w:p>
            <w:pPr>
              <w:spacing w:after="0" w:line="240" w:lineRule="auto"/>
            </w:pPr>
            <w:r>
              <w:rPr>
                <w:rFonts w:ascii="Arial" w:hAnsi="Arial" w:eastAsia="Arial"/>
                <w:color w:val="202B36"/>
                <w:sz w:val="14"/>
              </w:rPr>
              <w:t>128 (0.077%)</w:t>
            </w:r>
          </w:p>
        </w:tc>
        <w:tc>
          <w:tcPr>
            <w:tcW w:type="dxa" w:w="3096"/>
            <w:vAlign w:val="top"/>
            <w:tcMar>
              <w:top w:w="65" w:type="dxa"/>
              <w:start w:w="65" w:type="dxa"/>
              <w:bottom w:w="65" w:type="dxa"/>
              <w:end w:w="65" w:type="dxa"/>
            </w:tcMar>
          </w:tcPr>
          <w:p>
            <w:pPr>
              <w:spacing w:after="0" w:line="240" w:lineRule="auto"/>
            </w:pPr>
            <w:r>
              <w:rPr>
                <w:rFonts w:ascii="Arial" w:hAnsi="Arial" w:eastAsia="Arial"/>
                <w:color w:val="202B36"/>
                <w:sz w:val="14"/>
              </w:rPr>
              <w:t>Prescribed dry weight</w:t>
            </w:r>
          </w:p>
        </w:tc>
        <w:tc>
          <w:tcPr>
            <w:tcW w:type="dxa" w:w="3715"/>
            <w:vAlign w:val="top"/>
            <w:tcMar>
              <w:top w:w="65" w:type="dxa"/>
              <w:start w:w="65" w:type="dxa"/>
              <w:bottom w:w="65" w:type="dxa"/>
              <w:end w:w="65" w:type="dxa"/>
            </w:tcMar>
          </w:tcPr>
          <w:p>
            <w:pPr>
              <w:spacing w:after="0" w:line="240" w:lineRule="auto"/>
            </w:pPr>
            <w:r>
              <w:rPr>
                <w:rFonts w:ascii="Arial" w:hAnsi="Arial" w:eastAsia="Arial"/>
                <w:color w:val="202B36"/>
                <w:sz w:val="14"/>
              </w:rPr>
              <w:t>Baseline predictor source</w:t>
            </w:r>
          </w:p>
        </w:tc>
      </w:tr>
      <w:tr>
        <w:trPr>
          <w:cantSplit/>
          <w:trHeight w:hRule="atLeast"/>
        </w:trPr>
        <w:tc>
          <w:tcPr>
            <w:tcW w:type="dxa" w:w="165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temperature</w:t>
            </w:r>
          </w:p>
        </w:tc>
        <w:tc>
          <w:tcPr>
            <w:tcW w:type="dxa" w:w="1037"/>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degrees Celsius</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35 to 39.6</w:t>
            </w:r>
          </w:p>
        </w:tc>
        <w:tc>
          <w:tcPr>
            <w:tcW w:type="dxa" w:w="1123"/>
            <w:vAlign w:val="top"/>
            <w:tcMar>
              <w:top w:w="65" w:type="dxa"/>
              <w:start w:w="65" w:type="dxa"/>
              <w:bottom w:w="65" w:type="dxa"/>
              <w:end w:w="65" w:type="dxa"/>
            </w:tcMar>
            <w:shd w:fill="F7FAFC"/>
          </w:tcPr>
          <w:p>
            <w:pPr>
              <w:spacing w:after="0" w:line="240" w:lineRule="auto"/>
            </w:pPr>
            <w:r>
              <w:rPr>
                <w:rFonts w:ascii="Arial" w:hAnsi="Arial" w:eastAsia="Arial"/>
                <w:color w:val="202B36"/>
                <w:sz w:val="14"/>
              </w:rPr>
              <w:t>128 (0.077%)</w:t>
            </w:r>
          </w:p>
        </w:tc>
        <w:tc>
          <w:tcPr>
            <w:tcW w:type="dxa" w:w="309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Body temperature recorded for the session</w:t>
            </w:r>
          </w:p>
        </w:tc>
        <w:tc>
          <w:tcPr>
            <w:tcW w:type="dxa" w:w="371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Baseline predictor source</w:t>
            </w:r>
          </w:p>
        </w:tc>
      </w:tr>
    </w:tbl>
    <w:p>
      <w:pPr>
        <w:spacing w:after="0"/>
      </w:pPr>
    </w:p>
    <w:p>
      <w:r>
        <w:br w:type="page"/>
      </w:r>
    </w:p>
    <w:p>
      <w:pPr>
        <w:pStyle w:val="Heading2"/>
      </w:pPr>
      <w:r>
        <w:t>Hemrec VIP</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2037"/>
        <w:gridCol w:w="2037"/>
        <w:gridCol w:w="2037"/>
        <w:gridCol w:w="2037"/>
        <w:gridCol w:w="2037"/>
        <w:gridCol w:w="2037"/>
        <w:gridCol w:w="2037"/>
      </w:tblGrid>
      <w:tr>
        <w:trPr>
          <w:tblHeader w:val="true"/>
          <w:cantSplit/>
        </w:trPr>
        <w:tc>
          <w:tcPr>
            <w:tcW w:type="dxa" w:w="1656"/>
            <w:shd w:fill="17324D"/>
            <w:tcMar>
              <w:top w:w="80" w:type="dxa"/>
              <w:start w:w="70" w:type="dxa"/>
              <w:bottom w:w="80" w:type="dxa"/>
              <w:end w:w="70" w:type="dxa"/>
            </w:tcMar>
            <w:vAlign w:val="center"/>
          </w:tcPr>
          <w:p>
            <w:pPr>
              <w:spacing w:after="0"/>
            </w:pPr>
            <w:r>
              <w:rPr>
                <w:rFonts w:ascii="Arial" w:hAnsi="Arial" w:eastAsia="Arial"/>
                <w:b/>
                <w:color w:val="FFFFFF"/>
                <w:sz w:val="14"/>
              </w:rPr>
              <w:t>Variable</w:t>
            </w:r>
          </w:p>
        </w:tc>
        <w:tc>
          <w:tcPr>
            <w:tcW w:type="dxa" w:w="1037"/>
            <w:shd w:fill="17324D"/>
            <w:tcMar>
              <w:top w:w="80" w:type="dxa"/>
              <w:start w:w="70" w:type="dxa"/>
              <w:bottom w:w="80" w:type="dxa"/>
              <w:end w:w="70" w:type="dxa"/>
            </w:tcMar>
            <w:vAlign w:val="center"/>
          </w:tcPr>
          <w:p>
            <w:pPr>
              <w:spacing w:after="0"/>
            </w:pPr>
            <w:r>
              <w:rPr>
                <w:rFonts w:ascii="Arial" w:hAnsi="Arial" w:eastAsia="Arial"/>
                <w:b/>
                <w:color w:val="FFFFFF"/>
                <w:sz w:val="14"/>
              </w:rPr>
              <w:t>Type</w:t>
            </w:r>
          </w:p>
        </w:tc>
        <w:tc>
          <w:tcPr>
            <w:tcW w:type="dxa" w:w="1325"/>
            <w:shd w:fill="17324D"/>
            <w:tcMar>
              <w:top w:w="80" w:type="dxa"/>
              <w:start w:w="70" w:type="dxa"/>
              <w:bottom w:w="80" w:type="dxa"/>
              <w:end w:w="70" w:type="dxa"/>
            </w:tcMar>
            <w:vAlign w:val="center"/>
          </w:tcPr>
          <w:p>
            <w:pPr>
              <w:spacing w:after="0"/>
            </w:pPr>
            <w:r>
              <w:rPr>
                <w:rFonts w:ascii="Arial" w:hAnsi="Arial" w:eastAsia="Arial"/>
                <w:b/>
                <w:color w:val="FFFFFF"/>
                <w:sz w:val="14"/>
              </w:rPr>
              <w:t>Unit</w:t>
            </w:r>
          </w:p>
        </w:tc>
        <w:tc>
          <w:tcPr>
            <w:tcW w:type="dxa" w:w="2232"/>
            <w:shd w:fill="17324D"/>
            <w:tcMar>
              <w:top w:w="80" w:type="dxa"/>
              <w:start w:w="70" w:type="dxa"/>
              <w:bottom w:w="80" w:type="dxa"/>
              <w:end w:w="70" w:type="dxa"/>
            </w:tcMar>
            <w:vAlign w:val="center"/>
          </w:tcPr>
          <w:p>
            <w:pPr>
              <w:spacing w:after="0"/>
            </w:pPr>
            <w:r>
              <w:rPr>
                <w:rFonts w:ascii="Arial" w:hAnsi="Arial" w:eastAsia="Arial"/>
                <w:b/>
                <w:color w:val="FFFFFF"/>
                <w:sz w:val="14"/>
              </w:rPr>
              <w:t>Values or observed range</w:t>
            </w:r>
          </w:p>
        </w:tc>
        <w:tc>
          <w:tcPr>
            <w:tcW w:type="dxa" w:w="1123"/>
            <w:shd w:fill="17324D"/>
            <w:tcMar>
              <w:top w:w="80" w:type="dxa"/>
              <w:start w:w="70" w:type="dxa"/>
              <w:bottom w:w="80" w:type="dxa"/>
              <w:end w:w="70" w:type="dxa"/>
            </w:tcMar>
            <w:vAlign w:val="center"/>
          </w:tcPr>
          <w:p>
            <w:pPr>
              <w:spacing w:after="0"/>
            </w:pPr>
            <w:r>
              <w:rPr>
                <w:rFonts w:ascii="Arial" w:hAnsi="Arial" w:eastAsia="Arial"/>
                <w:b/>
                <w:color w:val="FFFFFF"/>
                <w:sz w:val="14"/>
              </w:rPr>
              <w:t>Missing</w:t>
            </w:r>
          </w:p>
        </w:tc>
        <w:tc>
          <w:tcPr>
            <w:tcW w:type="dxa" w:w="3096"/>
            <w:shd w:fill="17324D"/>
            <w:tcMar>
              <w:top w:w="80" w:type="dxa"/>
              <w:start w:w="70" w:type="dxa"/>
              <w:bottom w:w="80" w:type="dxa"/>
              <w:end w:w="70" w:type="dxa"/>
            </w:tcMar>
            <w:vAlign w:val="center"/>
          </w:tcPr>
          <w:p>
            <w:pPr>
              <w:spacing w:after="0"/>
            </w:pPr>
            <w:r>
              <w:rPr>
                <w:rFonts w:ascii="Arial" w:hAnsi="Arial" w:eastAsia="Arial"/>
                <w:b/>
                <w:color w:val="FFFFFF"/>
                <w:sz w:val="14"/>
              </w:rPr>
              <w:t>Definition</w:t>
            </w:r>
          </w:p>
        </w:tc>
        <w:tc>
          <w:tcPr>
            <w:tcW w:type="dxa" w:w="3715"/>
            <w:shd w:fill="17324D"/>
            <w:tcMar>
              <w:top w:w="80" w:type="dxa"/>
              <w:start w:w="70" w:type="dxa"/>
              <w:bottom w:w="80" w:type="dxa"/>
              <w:end w:w="70" w:type="dxa"/>
            </w:tcMar>
            <w:vAlign w:val="center"/>
          </w:tcPr>
          <w:p>
            <w:pPr>
              <w:spacing w:after="0"/>
            </w:pPr>
            <w:r>
              <w:rPr>
                <w:rFonts w:ascii="Arial" w:hAnsi="Arial" w:eastAsia="Arial"/>
                <w:b/>
                <w:color w:val="FFFFFF"/>
                <w:sz w:val="14"/>
              </w:rPr>
              <w:t>Analytic role</w:t>
            </w:r>
          </w:p>
        </w:tc>
      </w:tr>
      <w:tr>
        <w:trPr>
          <w:cantSplit/>
          <w:trHeight w:hRule="atLeast"/>
        </w:trPr>
        <w:tc>
          <w:tcPr>
            <w:tcW w:type="dxa" w:w="1656"/>
            <w:vAlign w:val="top"/>
            <w:tcMar>
              <w:top w:w="65" w:type="dxa"/>
              <w:start w:w="65" w:type="dxa"/>
              <w:bottom w:w="65" w:type="dxa"/>
              <w:end w:w="65" w:type="dxa"/>
            </w:tcMar>
          </w:tcPr>
          <w:p>
            <w:pPr>
              <w:spacing w:after="0" w:line="240" w:lineRule="auto"/>
            </w:pPr>
            <w:r>
              <w:rPr>
                <w:rFonts w:ascii="Arial" w:hAnsi="Arial" w:eastAsia="Arial"/>
                <w:color w:val="202B36"/>
                <w:sz w:val="14"/>
              </w:rPr>
              <w:t>pid</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string</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none</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4"/>
              </w:rPr>
              <w:t>1,072 unique de-identified IDs</w:t>
            </w:r>
          </w:p>
        </w:tc>
        <w:tc>
          <w:tcPr>
            <w:tcW w:type="dxa" w:w="1123"/>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tcPr>
          <w:p>
            <w:pPr>
              <w:spacing w:after="0" w:line="240" w:lineRule="auto"/>
            </w:pPr>
            <w:r>
              <w:rPr>
                <w:rFonts w:ascii="Arial" w:hAnsi="Arial" w:eastAsia="Arial"/>
                <w:color w:val="202B36"/>
                <w:sz w:val="14"/>
              </w:rPr>
              <w:t>De-identified patient identifier</w:t>
            </w:r>
          </w:p>
        </w:tc>
        <w:tc>
          <w:tcPr>
            <w:tcW w:type="dxa" w:w="3715"/>
            <w:vAlign w:val="top"/>
            <w:tcMar>
              <w:top w:w="65" w:type="dxa"/>
              <w:start w:w="65" w:type="dxa"/>
              <w:bottom w:w="65" w:type="dxa"/>
              <w:end w:w="65" w:type="dxa"/>
            </w:tcMar>
          </w:tcPr>
          <w:p>
            <w:pPr>
              <w:spacing w:after="0" w:line="240" w:lineRule="auto"/>
            </w:pPr>
            <w:r>
              <w:rPr>
                <w:rFonts w:ascii="Arial" w:hAnsi="Arial" w:eastAsia="Arial"/>
                <w:color w:val="202B36"/>
                <w:sz w:val="14"/>
              </w:rPr>
              <w:t>Patient linkage key</w:t>
            </w:r>
          </w:p>
        </w:tc>
      </w:tr>
      <w:tr>
        <w:trPr>
          <w:cantSplit/>
          <w:trHeight w:hRule="atLeast"/>
        </w:trPr>
        <w:tc>
          <w:tcPr>
            <w:tcW w:type="dxa" w:w="165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datatime</w:t>
            </w:r>
          </w:p>
        </w:tc>
        <w:tc>
          <w:tcPr>
            <w:tcW w:type="dxa" w:w="1037"/>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datetime</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timestamp</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2013-06-01 14:56:40 to 2018-07-01 06:22:57</w:t>
            </w:r>
          </w:p>
        </w:tc>
        <w:tc>
          <w:tcPr>
            <w:tcW w:type="dxa" w:w="1123"/>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Timestamp of the monitor record</w:t>
            </w:r>
          </w:p>
        </w:tc>
        <w:tc>
          <w:tcPr>
            <w:tcW w:type="dxa" w:w="371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Patient-date linkage and ordering</w:t>
            </w:r>
          </w:p>
        </w:tc>
      </w:tr>
      <w:tr>
        <w:trPr>
          <w:cantSplit/>
          <w:trHeight w:hRule="atLeast"/>
        </w:trPr>
        <w:tc>
          <w:tcPr>
            <w:tcW w:type="dxa" w:w="1656"/>
            <w:vAlign w:val="top"/>
            <w:tcMar>
              <w:top w:w="65" w:type="dxa"/>
              <w:start w:w="65" w:type="dxa"/>
              <w:bottom w:w="65" w:type="dxa"/>
              <w:end w:w="65" w:type="dxa"/>
            </w:tcMar>
          </w:tcPr>
          <w:p>
            <w:pPr>
              <w:spacing w:after="0" w:line="240" w:lineRule="auto"/>
            </w:pPr>
            <w:r>
              <w:rPr>
                <w:rFonts w:ascii="Arial" w:hAnsi="Arial" w:eastAsia="Arial"/>
                <w:color w:val="202B36"/>
                <w:sz w:val="14"/>
              </w:rPr>
              <w:t>measuretime</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integer</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source-defined index</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4"/>
              </w:rPr>
              <w:t>0 to 98</w:t>
            </w:r>
          </w:p>
        </w:tc>
        <w:tc>
          <w:tcPr>
            <w:tcW w:type="dxa" w:w="1123"/>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tcPr>
          <w:p>
            <w:pPr>
              <w:spacing w:after="0" w:line="240" w:lineRule="auto"/>
            </w:pPr>
            <w:r>
              <w:rPr>
                <w:rFonts w:ascii="Arial" w:hAnsi="Arial" w:eastAsia="Arial"/>
                <w:color w:val="202B36"/>
                <w:sz w:val="14"/>
              </w:rPr>
              <w:t>Blood-pressure measurement index as stored</w:t>
            </w:r>
          </w:p>
        </w:tc>
        <w:tc>
          <w:tcPr>
            <w:tcW w:type="dxa" w:w="3715"/>
            <w:vAlign w:val="top"/>
            <w:tcMar>
              <w:top w:w="65" w:type="dxa"/>
              <w:start w:w="65" w:type="dxa"/>
              <w:bottom w:w="65" w:type="dxa"/>
              <w:end w:w="65" w:type="dxa"/>
            </w:tcMar>
          </w:tcPr>
          <w:p>
            <w:pPr>
              <w:spacing w:after="0" w:line="240" w:lineRule="auto"/>
            </w:pPr>
            <w:r>
              <w:rPr>
                <w:rFonts w:ascii="Arial" w:hAnsi="Arial" w:eastAsia="Arial"/>
                <w:color w:val="202B36"/>
                <w:sz w:val="14"/>
              </w:rPr>
              <w:t>Ordering audit; source unit not documented</w:t>
            </w:r>
          </w:p>
        </w:tc>
      </w:tr>
      <w:tr>
        <w:trPr>
          <w:cantSplit/>
          <w:trHeight w:hRule="atLeast"/>
        </w:trPr>
        <w:tc>
          <w:tcPr>
            <w:tcW w:type="dxa" w:w="165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sbp</w:t>
            </w:r>
          </w:p>
        </w:tc>
        <w:tc>
          <w:tcPr>
            <w:tcW w:type="dxa" w:w="1037"/>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mmHg</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31 to 200</w:t>
            </w:r>
          </w:p>
        </w:tc>
        <w:tc>
          <w:tcPr>
            <w:tcW w:type="dxa" w:w="1123"/>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Systolic blood pressure</w:t>
            </w:r>
          </w:p>
        </w:tc>
        <w:tc>
          <w:tcPr>
            <w:tcW w:type="dxa" w:w="371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Index predictor and later outcome source</w:t>
            </w:r>
          </w:p>
        </w:tc>
      </w:tr>
      <w:tr>
        <w:trPr>
          <w:cantSplit/>
          <w:trHeight w:hRule="atLeast"/>
        </w:trPr>
        <w:tc>
          <w:tcPr>
            <w:tcW w:type="dxa" w:w="1656"/>
            <w:vAlign w:val="top"/>
            <w:tcMar>
              <w:top w:w="65" w:type="dxa"/>
              <w:start w:w="65" w:type="dxa"/>
              <w:bottom w:w="65" w:type="dxa"/>
              <w:end w:w="65" w:type="dxa"/>
            </w:tcMar>
          </w:tcPr>
          <w:p>
            <w:pPr>
              <w:spacing w:after="0" w:line="240" w:lineRule="auto"/>
            </w:pPr>
            <w:r>
              <w:rPr>
                <w:rFonts w:ascii="Arial" w:hAnsi="Arial" w:eastAsia="Arial"/>
                <w:color w:val="202B36"/>
                <w:sz w:val="14"/>
              </w:rPr>
              <w:t>dbp</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mmHg</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4"/>
              </w:rPr>
              <w:t>30 to 192</w:t>
            </w:r>
          </w:p>
        </w:tc>
        <w:tc>
          <w:tcPr>
            <w:tcW w:type="dxa" w:w="1123"/>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tcPr>
          <w:p>
            <w:pPr>
              <w:spacing w:after="0" w:line="240" w:lineRule="auto"/>
            </w:pPr>
            <w:r>
              <w:rPr>
                <w:rFonts w:ascii="Arial" w:hAnsi="Arial" w:eastAsia="Arial"/>
                <w:color w:val="202B36"/>
                <w:sz w:val="14"/>
              </w:rPr>
              <w:t>Diastolic blood pressure</w:t>
            </w:r>
          </w:p>
        </w:tc>
        <w:tc>
          <w:tcPr>
            <w:tcW w:type="dxa" w:w="3715"/>
            <w:vAlign w:val="top"/>
            <w:tcMar>
              <w:top w:w="65" w:type="dxa"/>
              <w:start w:w="65" w:type="dxa"/>
              <w:bottom w:w="65" w:type="dxa"/>
              <w:end w:w="65" w:type="dxa"/>
            </w:tcMar>
          </w:tcPr>
          <w:p>
            <w:pPr>
              <w:spacing w:after="0" w:line="240" w:lineRule="auto"/>
            </w:pPr>
            <w:r>
              <w:rPr>
                <w:rFonts w:ascii="Arial" w:hAnsi="Arial" w:eastAsia="Arial"/>
                <w:color w:val="202B36"/>
                <w:sz w:val="14"/>
              </w:rPr>
              <w:t>Index predictor source</w:t>
            </w:r>
          </w:p>
        </w:tc>
      </w:tr>
      <w:tr>
        <w:trPr>
          <w:cantSplit/>
          <w:trHeight w:hRule="atLeast"/>
        </w:trPr>
        <w:tc>
          <w:tcPr>
            <w:tcW w:type="dxa" w:w="165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dia_temp_value</w:t>
            </w:r>
          </w:p>
        </w:tc>
        <w:tc>
          <w:tcPr>
            <w:tcW w:type="dxa" w:w="1037"/>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degrees Celsius</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33 to 40</w:t>
            </w:r>
          </w:p>
        </w:tc>
        <w:tc>
          <w:tcPr>
            <w:tcW w:type="dxa" w:w="1123"/>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Dialysate temperature setting</w:t>
            </w:r>
          </w:p>
        </w:tc>
        <w:tc>
          <w:tcPr>
            <w:tcW w:type="dxa" w:w="371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Index predictor source</w:t>
            </w:r>
          </w:p>
        </w:tc>
      </w:tr>
      <w:tr>
        <w:trPr>
          <w:cantSplit/>
          <w:trHeight w:hRule="atLeast"/>
        </w:trPr>
        <w:tc>
          <w:tcPr>
            <w:tcW w:type="dxa" w:w="1656"/>
            <w:vAlign w:val="top"/>
            <w:tcMar>
              <w:top w:w="65" w:type="dxa"/>
              <w:start w:w="65" w:type="dxa"/>
              <w:bottom w:w="65" w:type="dxa"/>
              <w:end w:w="65" w:type="dxa"/>
            </w:tcMar>
          </w:tcPr>
          <w:p>
            <w:pPr>
              <w:spacing w:after="0" w:line="240" w:lineRule="auto"/>
            </w:pPr>
            <w:r>
              <w:rPr>
                <w:rFonts w:ascii="Arial" w:hAnsi="Arial" w:eastAsia="Arial"/>
                <w:color w:val="202B36"/>
                <w:sz w:val="14"/>
              </w:rPr>
              <w:t>conductivity</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mS/cm</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4"/>
              </w:rPr>
              <w:t>10 to 20</w:t>
            </w:r>
          </w:p>
        </w:tc>
        <w:tc>
          <w:tcPr>
            <w:tcW w:type="dxa" w:w="1123"/>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tcPr>
          <w:p>
            <w:pPr>
              <w:spacing w:after="0" w:line="240" w:lineRule="auto"/>
            </w:pPr>
            <w:r>
              <w:rPr>
                <w:rFonts w:ascii="Arial" w:hAnsi="Arial" w:eastAsia="Arial"/>
                <w:color w:val="202B36"/>
                <w:sz w:val="14"/>
              </w:rPr>
              <w:t>Dialysate conductivity, a proxy for dialysate sodium concentration</w:t>
            </w:r>
          </w:p>
        </w:tc>
        <w:tc>
          <w:tcPr>
            <w:tcW w:type="dxa" w:w="3715"/>
            <w:vAlign w:val="top"/>
            <w:tcMar>
              <w:top w:w="65" w:type="dxa"/>
              <w:start w:w="65" w:type="dxa"/>
              <w:bottom w:w="65" w:type="dxa"/>
              <w:end w:w="65" w:type="dxa"/>
            </w:tcMar>
          </w:tcPr>
          <w:p>
            <w:pPr>
              <w:spacing w:after="0" w:line="240" w:lineRule="auto"/>
            </w:pPr>
            <w:r>
              <w:rPr>
                <w:rFonts w:ascii="Arial" w:hAnsi="Arial" w:eastAsia="Arial"/>
                <w:color w:val="202B36"/>
                <w:sz w:val="14"/>
              </w:rPr>
              <w:t>Index predictor source</w:t>
            </w:r>
          </w:p>
        </w:tc>
      </w:tr>
      <w:tr>
        <w:trPr>
          <w:cantSplit/>
          <w:trHeight w:hRule="atLeast"/>
        </w:trPr>
        <w:tc>
          <w:tcPr>
            <w:tcW w:type="dxa" w:w="165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uf</w:t>
            </w:r>
          </w:p>
        </w:tc>
        <w:tc>
          <w:tcPr>
            <w:tcW w:type="dxa" w:w="1037"/>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L/hour</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to 3</w:t>
            </w:r>
          </w:p>
        </w:tc>
        <w:tc>
          <w:tcPr>
            <w:tcW w:type="dxa" w:w="1123"/>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Ultrafiltration rate</w:t>
            </w:r>
          </w:p>
        </w:tc>
        <w:tc>
          <w:tcPr>
            <w:tcW w:type="dxa" w:w="371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Index predictor source</w:t>
            </w:r>
          </w:p>
        </w:tc>
      </w:tr>
      <w:tr>
        <w:trPr>
          <w:cantSplit/>
          <w:trHeight w:hRule="atLeast"/>
        </w:trPr>
        <w:tc>
          <w:tcPr>
            <w:tcW w:type="dxa" w:w="1656"/>
            <w:vAlign w:val="top"/>
            <w:tcMar>
              <w:top w:w="65" w:type="dxa"/>
              <w:start w:w="65" w:type="dxa"/>
              <w:bottom w:w="65" w:type="dxa"/>
              <w:end w:w="65" w:type="dxa"/>
            </w:tcMar>
          </w:tcPr>
          <w:p>
            <w:pPr>
              <w:spacing w:after="0" w:line="240" w:lineRule="auto"/>
            </w:pPr>
            <w:r>
              <w:rPr>
                <w:rFonts w:ascii="Arial" w:hAnsi="Arial" w:eastAsia="Arial"/>
                <w:color w:val="202B36"/>
                <w:sz w:val="14"/>
              </w:rPr>
              <w:t>blood_flow</w:t>
            </w:r>
          </w:p>
        </w:tc>
        <w:tc>
          <w:tcPr>
            <w:tcW w:type="dxa" w:w="1037"/>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mL/min</w:t>
            </w:r>
          </w:p>
        </w:tc>
        <w:tc>
          <w:tcPr>
            <w:tcW w:type="dxa" w:w="2232"/>
            <w:vAlign w:val="top"/>
            <w:tcMar>
              <w:top w:w="65" w:type="dxa"/>
              <w:start w:w="65" w:type="dxa"/>
              <w:bottom w:w="65" w:type="dxa"/>
              <w:end w:w="65" w:type="dxa"/>
            </w:tcMar>
          </w:tcPr>
          <w:p>
            <w:pPr>
              <w:spacing w:after="0" w:line="240" w:lineRule="auto"/>
            </w:pPr>
            <w:r>
              <w:rPr>
                <w:rFonts w:ascii="Arial" w:hAnsi="Arial" w:eastAsia="Arial"/>
                <w:color w:val="202B36"/>
                <w:sz w:val="14"/>
              </w:rPr>
              <w:t>0 to 400</w:t>
            </w:r>
          </w:p>
        </w:tc>
        <w:tc>
          <w:tcPr>
            <w:tcW w:type="dxa" w:w="1123"/>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tcPr>
          <w:p>
            <w:pPr>
              <w:spacing w:after="0" w:line="240" w:lineRule="auto"/>
            </w:pPr>
            <w:r>
              <w:rPr>
                <w:rFonts w:ascii="Arial" w:hAnsi="Arial" w:eastAsia="Arial"/>
                <w:color w:val="202B36"/>
                <w:sz w:val="14"/>
              </w:rPr>
              <w:t>Blood-flow rate through the extracorporeal circuit</w:t>
            </w:r>
          </w:p>
        </w:tc>
        <w:tc>
          <w:tcPr>
            <w:tcW w:type="dxa" w:w="3715"/>
            <w:vAlign w:val="top"/>
            <w:tcMar>
              <w:top w:w="65" w:type="dxa"/>
              <w:start w:w="65" w:type="dxa"/>
              <w:bottom w:w="65" w:type="dxa"/>
              <w:end w:w="65" w:type="dxa"/>
            </w:tcMar>
          </w:tcPr>
          <w:p>
            <w:pPr>
              <w:spacing w:after="0" w:line="240" w:lineRule="auto"/>
            </w:pPr>
            <w:r>
              <w:rPr>
                <w:rFonts w:ascii="Arial" w:hAnsi="Arial" w:eastAsia="Arial"/>
                <w:color w:val="202B36"/>
                <w:sz w:val="14"/>
              </w:rPr>
              <w:t>Index predictor source</w:t>
            </w:r>
          </w:p>
        </w:tc>
      </w:tr>
      <w:tr>
        <w:trPr>
          <w:cantSplit/>
          <w:trHeight w:hRule="atLeast"/>
        </w:trPr>
        <w:tc>
          <w:tcPr>
            <w:tcW w:type="dxa" w:w="165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time</w:t>
            </w:r>
          </w:p>
        </w:tc>
        <w:tc>
          <w:tcPr>
            <w:tcW w:type="dxa" w:w="1037"/>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minutes</w:t>
            </w:r>
          </w:p>
        </w:tc>
        <w:tc>
          <w:tcPr>
            <w:tcW w:type="dxa" w:w="223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to 370</w:t>
            </w:r>
          </w:p>
        </w:tc>
        <w:tc>
          <w:tcPr>
            <w:tcW w:type="dxa" w:w="1123"/>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309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Elapsed dialysis time</w:t>
            </w:r>
          </w:p>
        </w:tc>
        <w:tc>
          <w:tcPr>
            <w:tcW w:type="dxa" w:w="371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Index selection and later outcome window</w:t>
            </w:r>
          </w:p>
        </w:tc>
      </w:tr>
    </w:tbl>
    <w:p>
      <w:pPr>
        <w:spacing w:after="0"/>
      </w:pPr>
    </w:p>
    <w:p>
      <w:pPr>
        <w:spacing w:after="100"/>
      </w:pPr>
      <w:r>
        <w:rPr>
          <w:rFonts w:ascii="Arial" w:hAnsi="Arial" w:eastAsia="Arial"/>
          <w:i/>
          <w:color w:val="202B36"/>
        </w:rPr>
        <w:t>Interpretation note. In the source documentation, measuretime is an undocumented measurement index, whereas time is elapsed dialysis time in minutes. They are not treated as interchangeable. Raw minimum and maximum values describe this release; separate index-eligibility checks define the analysis-ready cohort.</w:t>
      </w:r>
    </w:p>
    <w:p>
      <w:r>
        <w:br w:type="page"/>
      </w:r>
    </w:p>
    <w:p>
      <w:pPr>
        <w:pStyle w:val="Heading1"/>
      </w:pPr>
      <w:r>
        <w:t>Appendix B Analytic Data Dictionary</w:t>
      </w:r>
    </w:p>
    <w:p>
      <w:pPr>
        <w:spacing w:after="100"/>
      </w:pPr>
      <w:r>
        <w:rPr>
          <w:rFonts w:ascii="Arial" w:hAnsi="Arial" w:eastAsia="Arial"/>
          <w:i w:val="0"/>
          <w:color w:val="202B36"/>
        </w:rPr>
        <w:t>The analytic table contains 40 variables. Fields marked audit, eligibility, outcome, or post-index are retained for traceability but are excluded from model predictors.</w:t>
      </w:r>
    </w:p>
    <w:p>
      <w:pPr>
        <w:pStyle w:val="Heading2"/>
      </w:pPr>
      <w:r>
        <w:t>Identifiers and Index Documentation</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2037"/>
        <w:gridCol w:w="2037"/>
        <w:gridCol w:w="2037"/>
        <w:gridCol w:w="2037"/>
        <w:gridCol w:w="2037"/>
        <w:gridCol w:w="2037"/>
        <w:gridCol w:w="2037"/>
      </w:tblGrid>
      <w:tr>
        <w:trPr>
          <w:tblHeader w:val="true"/>
          <w:cantSplit/>
        </w:trPr>
        <w:tc>
          <w:tcPr>
            <w:tcW w:type="dxa" w:w="1872"/>
            <w:shd w:fill="17324D"/>
            <w:tcMar>
              <w:top w:w="80" w:type="dxa"/>
              <w:start w:w="70" w:type="dxa"/>
              <w:bottom w:w="80" w:type="dxa"/>
              <w:end w:w="70" w:type="dxa"/>
            </w:tcMar>
            <w:vAlign w:val="center"/>
          </w:tcPr>
          <w:p>
            <w:pPr>
              <w:spacing w:after="0"/>
            </w:pPr>
            <w:r>
              <w:rPr>
                <w:rFonts w:ascii="Arial" w:hAnsi="Arial" w:eastAsia="Arial"/>
                <w:b/>
                <w:color w:val="FFFFFF"/>
                <w:sz w:val="14"/>
              </w:rPr>
              <w:t>Variable</w:t>
            </w:r>
          </w:p>
        </w:tc>
        <w:tc>
          <w:tcPr>
            <w:tcW w:type="dxa" w:w="1008"/>
            <w:shd w:fill="17324D"/>
            <w:tcMar>
              <w:top w:w="80" w:type="dxa"/>
              <w:start w:w="70" w:type="dxa"/>
              <w:bottom w:w="80" w:type="dxa"/>
              <w:end w:w="70" w:type="dxa"/>
            </w:tcMar>
            <w:vAlign w:val="center"/>
          </w:tcPr>
          <w:p>
            <w:pPr>
              <w:spacing w:after="0"/>
            </w:pPr>
            <w:r>
              <w:rPr>
                <w:rFonts w:ascii="Arial" w:hAnsi="Arial" w:eastAsia="Arial"/>
                <w:b/>
                <w:color w:val="FFFFFF"/>
                <w:sz w:val="14"/>
              </w:rPr>
              <w:t>Type</w:t>
            </w:r>
          </w:p>
        </w:tc>
        <w:tc>
          <w:tcPr>
            <w:tcW w:type="dxa" w:w="1325"/>
            <w:shd w:fill="17324D"/>
            <w:tcMar>
              <w:top w:w="80" w:type="dxa"/>
              <w:start w:w="70" w:type="dxa"/>
              <w:bottom w:w="80" w:type="dxa"/>
              <w:end w:w="70" w:type="dxa"/>
            </w:tcMar>
            <w:vAlign w:val="center"/>
          </w:tcPr>
          <w:p>
            <w:pPr>
              <w:spacing w:after="0"/>
            </w:pPr>
            <w:r>
              <w:rPr>
                <w:rFonts w:ascii="Arial" w:hAnsi="Arial" w:eastAsia="Arial"/>
                <w:b/>
                <w:color w:val="FFFFFF"/>
                <w:sz w:val="14"/>
              </w:rPr>
              <w:t>Unit</w:t>
            </w:r>
          </w:p>
        </w:tc>
        <w:tc>
          <w:tcPr>
            <w:tcW w:type="dxa" w:w="2131"/>
            <w:shd w:fill="17324D"/>
            <w:tcMar>
              <w:top w:w="80" w:type="dxa"/>
              <w:start w:w="70" w:type="dxa"/>
              <w:bottom w:w="80" w:type="dxa"/>
              <w:end w:w="70" w:type="dxa"/>
            </w:tcMar>
            <w:vAlign w:val="center"/>
          </w:tcPr>
          <w:p>
            <w:pPr>
              <w:spacing w:after="0"/>
            </w:pPr>
            <w:r>
              <w:rPr>
                <w:rFonts w:ascii="Arial" w:hAnsi="Arial" w:eastAsia="Arial"/>
                <w:b/>
                <w:color w:val="FFFFFF"/>
                <w:sz w:val="14"/>
              </w:rPr>
              <w:t>Values or observed range</w:t>
            </w:r>
          </w:p>
        </w:tc>
        <w:tc>
          <w:tcPr>
            <w:tcW w:type="dxa" w:w="1080"/>
            <w:shd w:fill="17324D"/>
            <w:tcMar>
              <w:top w:w="80" w:type="dxa"/>
              <w:start w:w="70" w:type="dxa"/>
              <w:bottom w:w="80" w:type="dxa"/>
              <w:end w:w="70" w:type="dxa"/>
            </w:tcMar>
            <w:vAlign w:val="center"/>
          </w:tcPr>
          <w:p>
            <w:pPr>
              <w:spacing w:after="0"/>
            </w:pPr>
            <w:r>
              <w:rPr>
                <w:rFonts w:ascii="Arial" w:hAnsi="Arial" w:eastAsia="Arial"/>
                <w:b/>
                <w:color w:val="FFFFFF"/>
                <w:sz w:val="14"/>
              </w:rPr>
              <w:t>Missing</w:t>
            </w:r>
          </w:p>
        </w:tc>
        <w:tc>
          <w:tcPr>
            <w:tcW w:type="dxa" w:w="2952"/>
            <w:shd w:fill="17324D"/>
            <w:tcMar>
              <w:top w:w="80" w:type="dxa"/>
              <w:start w:w="70" w:type="dxa"/>
              <w:bottom w:w="80" w:type="dxa"/>
              <w:end w:w="70" w:type="dxa"/>
            </w:tcMar>
            <w:vAlign w:val="center"/>
          </w:tcPr>
          <w:p>
            <w:pPr>
              <w:spacing w:after="0"/>
            </w:pPr>
            <w:r>
              <w:rPr>
                <w:rFonts w:ascii="Arial" w:hAnsi="Arial" w:eastAsia="Arial"/>
                <w:b/>
                <w:color w:val="FFFFFF"/>
                <w:sz w:val="14"/>
              </w:rPr>
              <w:t>Definition</w:t>
            </w:r>
          </w:p>
        </w:tc>
        <w:tc>
          <w:tcPr>
            <w:tcW w:type="dxa" w:w="3816"/>
            <w:shd w:fill="17324D"/>
            <w:tcMar>
              <w:top w:w="80" w:type="dxa"/>
              <w:start w:w="70" w:type="dxa"/>
              <w:bottom w:w="80" w:type="dxa"/>
              <w:end w:w="70" w:type="dxa"/>
            </w:tcMar>
            <w:vAlign w:val="center"/>
          </w:tcPr>
          <w:p>
            <w:pPr>
              <w:spacing w:after="0"/>
            </w:pPr>
            <w:r>
              <w:rPr>
                <w:rFonts w:ascii="Arial" w:hAnsi="Arial" w:eastAsia="Arial"/>
                <w:b/>
                <w:color w:val="FFFFFF"/>
                <w:sz w:val="14"/>
              </w:rPr>
              <w:t>Role and availability</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pid</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string</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Identifier</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830 unique IDs in the analytic cohort</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De-identified patient identifier</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Grouping and split only; never a predictor; Identifier only</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session_date</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date</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Date</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2013-06-01 to 2018-05-31</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Date used to link a dialysis session across source tables</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Identifier and temporal audit; Audit only</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index_datetime</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datetime</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Timestamp</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2013-06-01 19:53:40 to 2018-05-31 20:41:17</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Timestamp of the earliest valid active-dialysis record within 30 minutes</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Index-time documentation; Audit only</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index_minute</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minutes</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to 30</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Elapsed dialysis minute at the index record</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Cohort audit; not a predictor; Audit only</w:t>
            </w:r>
          </w:p>
        </w:tc>
      </w:tr>
    </w:tbl>
    <w:p>
      <w:pPr>
        <w:spacing w:after="0"/>
      </w:pPr>
    </w:p>
    <w:p>
      <w:pPr>
        <w:pStyle w:val="Heading2"/>
      </w:pPr>
      <w:r>
        <w:t>Index and Predialysis Predictors</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2037"/>
        <w:gridCol w:w="2037"/>
        <w:gridCol w:w="2037"/>
        <w:gridCol w:w="2037"/>
        <w:gridCol w:w="2037"/>
        <w:gridCol w:w="2037"/>
        <w:gridCol w:w="2037"/>
      </w:tblGrid>
      <w:tr>
        <w:trPr>
          <w:tblHeader w:val="true"/>
          <w:cantSplit/>
        </w:trPr>
        <w:tc>
          <w:tcPr>
            <w:tcW w:type="dxa" w:w="1872"/>
            <w:shd w:fill="17324D"/>
            <w:tcMar>
              <w:top w:w="80" w:type="dxa"/>
              <w:start w:w="70" w:type="dxa"/>
              <w:bottom w:w="80" w:type="dxa"/>
              <w:end w:w="70" w:type="dxa"/>
            </w:tcMar>
            <w:vAlign w:val="center"/>
          </w:tcPr>
          <w:p>
            <w:pPr>
              <w:spacing w:after="0"/>
            </w:pPr>
            <w:r>
              <w:rPr>
                <w:rFonts w:ascii="Arial" w:hAnsi="Arial" w:eastAsia="Arial"/>
                <w:b/>
                <w:color w:val="FFFFFF"/>
                <w:sz w:val="14"/>
              </w:rPr>
              <w:t>Variable</w:t>
            </w:r>
          </w:p>
        </w:tc>
        <w:tc>
          <w:tcPr>
            <w:tcW w:type="dxa" w:w="1008"/>
            <w:shd w:fill="17324D"/>
            <w:tcMar>
              <w:top w:w="80" w:type="dxa"/>
              <w:start w:w="70" w:type="dxa"/>
              <w:bottom w:w="80" w:type="dxa"/>
              <w:end w:w="70" w:type="dxa"/>
            </w:tcMar>
            <w:vAlign w:val="center"/>
          </w:tcPr>
          <w:p>
            <w:pPr>
              <w:spacing w:after="0"/>
            </w:pPr>
            <w:r>
              <w:rPr>
                <w:rFonts w:ascii="Arial" w:hAnsi="Arial" w:eastAsia="Arial"/>
                <w:b/>
                <w:color w:val="FFFFFF"/>
                <w:sz w:val="14"/>
              </w:rPr>
              <w:t>Type</w:t>
            </w:r>
          </w:p>
        </w:tc>
        <w:tc>
          <w:tcPr>
            <w:tcW w:type="dxa" w:w="1325"/>
            <w:shd w:fill="17324D"/>
            <w:tcMar>
              <w:top w:w="80" w:type="dxa"/>
              <w:start w:w="70" w:type="dxa"/>
              <w:bottom w:w="80" w:type="dxa"/>
              <w:end w:w="70" w:type="dxa"/>
            </w:tcMar>
            <w:vAlign w:val="center"/>
          </w:tcPr>
          <w:p>
            <w:pPr>
              <w:spacing w:after="0"/>
            </w:pPr>
            <w:r>
              <w:rPr>
                <w:rFonts w:ascii="Arial" w:hAnsi="Arial" w:eastAsia="Arial"/>
                <w:b/>
                <w:color w:val="FFFFFF"/>
                <w:sz w:val="14"/>
              </w:rPr>
              <w:t>Unit</w:t>
            </w:r>
          </w:p>
        </w:tc>
        <w:tc>
          <w:tcPr>
            <w:tcW w:type="dxa" w:w="2131"/>
            <w:shd w:fill="17324D"/>
            <w:tcMar>
              <w:top w:w="80" w:type="dxa"/>
              <w:start w:w="70" w:type="dxa"/>
              <w:bottom w:w="80" w:type="dxa"/>
              <w:end w:w="70" w:type="dxa"/>
            </w:tcMar>
            <w:vAlign w:val="center"/>
          </w:tcPr>
          <w:p>
            <w:pPr>
              <w:spacing w:after="0"/>
            </w:pPr>
            <w:r>
              <w:rPr>
                <w:rFonts w:ascii="Arial" w:hAnsi="Arial" w:eastAsia="Arial"/>
                <w:b/>
                <w:color w:val="FFFFFF"/>
                <w:sz w:val="14"/>
              </w:rPr>
              <w:t>Values or observed range</w:t>
            </w:r>
          </w:p>
        </w:tc>
        <w:tc>
          <w:tcPr>
            <w:tcW w:type="dxa" w:w="1080"/>
            <w:shd w:fill="17324D"/>
            <w:tcMar>
              <w:top w:w="80" w:type="dxa"/>
              <w:start w:w="70" w:type="dxa"/>
              <w:bottom w:w="80" w:type="dxa"/>
              <w:end w:w="70" w:type="dxa"/>
            </w:tcMar>
            <w:vAlign w:val="center"/>
          </w:tcPr>
          <w:p>
            <w:pPr>
              <w:spacing w:after="0"/>
            </w:pPr>
            <w:r>
              <w:rPr>
                <w:rFonts w:ascii="Arial" w:hAnsi="Arial" w:eastAsia="Arial"/>
                <w:b/>
                <w:color w:val="FFFFFF"/>
                <w:sz w:val="14"/>
              </w:rPr>
              <w:t>Missing</w:t>
            </w:r>
          </w:p>
        </w:tc>
        <w:tc>
          <w:tcPr>
            <w:tcW w:type="dxa" w:w="2952"/>
            <w:shd w:fill="17324D"/>
            <w:tcMar>
              <w:top w:w="80" w:type="dxa"/>
              <w:start w:w="70" w:type="dxa"/>
              <w:bottom w:w="80" w:type="dxa"/>
              <w:end w:w="70" w:type="dxa"/>
            </w:tcMar>
            <w:vAlign w:val="center"/>
          </w:tcPr>
          <w:p>
            <w:pPr>
              <w:spacing w:after="0"/>
            </w:pPr>
            <w:r>
              <w:rPr>
                <w:rFonts w:ascii="Arial" w:hAnsi="Arial" w:eastAsia="Arial"/>
                <w:b/>
                <w:color w:val="FFFFFF"/>
                <w:sz w:val="14"/>
              </w:rPr>
              <w:t>Definition</w:t>
            </w:r>
          </w:p>
        </w:tc>
        <w:tc>
          <w:tcPr>
            <w:tcW w:type="dxa" w:w="3816"/>
            <w:shd w:fill="17324D"/>
            <w:tcMar>
              <w:top w:w="80" w:type="dxa"/>
              <w:start w:w="70" w:type="dxa"/>
              <w:bottom w:w="80" w:type="dxa"/>
              <w:end w:w="70" w:type="dxa"/>
            </w:tcMar>
            <w:vAlign w:val="center"/>
          </w:tcPr>
          <w:p>
            <w:pPr>
              <w:spacing w:after="0"/>
            </w:pPr>
            <w:r>
              <w:rPr>
                <w:rFonts w:ascii="Arial" w:hAnsi="Arial" w:eastAsia="Arial"/>
                <w:b/>
                <w:color w:val="FFFFFF"/>
                <w:sz w:val="14"/>
              </w:rPr>
              <w:t>Role and availability</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baseline_sbp</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mmHg</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90 to 200</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Systolic BP at the index record</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Predictor; Known at index</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baseline_dbp</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mmHg</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30 to 150</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Diastolic BP at the index record</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Predictor; Known at index</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initial_dialysate_temp_c</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degrees Celsius</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35 to 39</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Dialysate temperature at the index record</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Predictor; Known at index</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initial_conductivity_ms_cm</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mS/cm</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10 to 20</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Dialysate conductivity at the index record</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Predictor; Known at index</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initial_uf_l_h</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L/hour</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0 to 3</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Ultrafiltration rate at the index record</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Predictor; Known at index</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initial_blood_flow_ml_min</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mL/min</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2 to 400</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Blood-flow rate at the index record</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Predictor; Known at index</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weightstart</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kg</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30.6 to 172.7</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Body weight before dialysis</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Predictor; Known before treatment</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dryweight</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kg</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30 to 136</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Prescribed dry weight</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Predictor; Known before treatment</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temperature</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degrees Celsius</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35 to 39.5</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Body temperature recorded for the session</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Predictor; Known at session start</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gender</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categorical</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F or M</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F or M</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Recorded sex field in the source data</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Predictor and fairness audit; Known before treatment</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DM</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binary</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0 or 1</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0 = no diabetes; 1 = diabetes</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Recorded diabetes status</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Predictor and subgroup audit; Known before treatment</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age_years</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years</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18 to 94</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Session year minus birth year</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Predictor and fairness audit; Known before treatment</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dialysis_vintage_years</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years</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0 to 27.28</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1,465 (1.372%)</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Time from first dialysis to session date</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Predictor; Known before treatment</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fluid_excess_kg</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kg</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-23.8 to 37.7</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Predialysis weight minus dry weight</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Engineered predictor; Known before treatment</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fluid_excess_pct</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percent of dry weight</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-28.74 to 64.95</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Fluid excess divided by dry weight</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Engineered predictor; Known before treatment</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initial_uf_ml_kg_h</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mL/kg/hour</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to 92.88</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Initial UF rate normalized by predialysis weight</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Engineered predictor; Known at index</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baseline_map</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mmHg</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50.67 to 165.67</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DBP plus one-third of pulse pressure</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Engineered predictor; Known at index</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baseline_pulse_pressure</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mmHg</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5 to 162</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Baseline SBP minus DBP</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Engineered predictor; Known at index</w:t>
            </w:r>
          </w:p>
        </w:tc>
      </w:tr>
    </w:tbl>
    <w:p>
      <w:pPr>
        <w:spacing w:after="0"/>
      </w:pPr>
    </w:p>
    <w:p>
      <w:pPr>
        <w:pStyle w:val="Heading2"/>
      </w:pPr>
      <w:r>
        <w:t>Prior Session Predictors</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2037"/>
        <w:gridCol w:w="2037"/>
        <w:gridCol w:w="2037"/>
        <w:gridCol w:w="2037"/>
        <w:gridCol w:w="2037"/>
        <w:gridCol w:w="2037"/>
        <w:gridCol w:w="2037"/>
      </w:tblGrid>
      <w:tr>
        <w:trPr>
          <w:tblHeader w:val="true"/>
          <w:cantSplit/>
        </w:trPr>
        <w:tc>
          <w:tcPr>
            <w:tcW w:type="dxa" w:w="1872"/>
            <w:shd w:fill="17324D"/>
            <w:tcMar>
              <w:top w:w="80" w:type="dxa"/>
              <w:start w:w="70" w:type="dxa"/>
              <w:bottom w:w="80" w:type="dxa"/>
              <w:end w:w="70" w:type="dxa"/>
            </w:tcMar>
            <w:vAlign w:val="center"/>
          </w:tcPr>
          <w:p>
            <w:pPr>
              <w:spacing w:after="0"/>
            </w:pPr>
            <w:r>
              <w:rPr>
                <w:rFonts w:ascii="Arial" w:hAnsi="Arial" w:eastAsia="Arial"/>
                <w:b/>
                <w:color w:val="FFFFFF"/>
                <w:sz w:val="14"/>
              </w:rPr>
              <w:t>Variable</w:t>
            </w:r>
          </w:p>
        </w:tc>
        <w:tc>
          <w:tcPr>
            <w:tcW w:type="dxa" w:w="1008"/>
            <w:shd w:fill="17324D"/>
            <w:tcMar>
              <w:top w:w="80" w:type="dxa"/>
              <w:start w:w="70" w:type="dxa"/>
              <w:bottom w:w="80" w:type="dxa"/>
              <w:end w:w="70" w:type="dxa"/>
            </w:tcMar>
            <w:vAlign w:val="center"/>
          </w:tcPr>
          <w:p>
            <w:pPr>
              <w:spacing w:after="0"/>
            </w:pPr>
            <w:r>
              <w:rPr>
                <w:rFonts w:ascii="Arial" w:hAnsi="Arial" w:eastAsia="Arial"/>
                <w:b/>
                <w:color w:val="FFFFFF"/>
                <w:sz w:val="14"/>
              </w:rPr>
              <w:t>Type</w:t>
            </w:r>
          </w:p>
        </w:tc>
        <w:tc>
          <w:tcPr>
            <w:tcW w:type="dxa" w:w="1325"/>
            <w:shd w:fill="17324D"/>
            <w:tcMar>
              <w:top w:w="80" w:type="dxa"/>
              <w:start w:w="70" w:type="dxa"/>
              <w:bottom w:w="80" w:type="dxa"/>
              <w:end w:w="70" w:type="dxa"/>
            </w:tcMar>
            <w:vAlign w:val="center"/>
          </w:tcPr>
          <w:p>
            <w:pPr>
              <w:spacing w:after="0"/>
            </w:pPr>
            <w:r>
              <w:rPr>
                <w:rFonts w:ascii="Arial" w:hAnsi="Arial" w:eastAsia="Arial"/>
                <w:b/>
                <w:color w:val="FFFFFF"/>
                <w:sz w:val="14"/>
              </w:rPr>
              <w:t>Unit</w:t>
            </w:r>
          </w:p>
        </w:tc>
        <w:tc>
          <w:tcPr>
            <w:tcW w:type="dxa" w:w="2131"/>
            <w:shd w:fill="17324D"/>
            <w:tcMar>
              <w:top w:w="80" w:type="dxa"/>
              <w:start w:w="70" w:type="dxa"/>
              <w:bottom w:w="80" w:type="dxa"/>
              <w:end w:w="70" w:type="dxa"/>
            </w:tcMar>
            <w:vAlign w:val="center"/>
          </w:tcPr>
          <w:p>
            <w:pPr>
              <w:spacing w:after="0"/>
            </w:pPr>
            <w:r>
              <w:rPr>
                <w:rFonts w:ascii="Arial" w:hAnsi="Arial" w:eastAsia="Arial"/>
                <w:b/>
                <w:color w:val="FFFFFF"/>
                <w:sz w:val="14"/>
              </w:rPr>
              <w:t>Values or observed range</w:t>
            </w:r>
          </w:p>
        </w:tc>
        <w:tc>
          <w:tcPr>
            <w:tcW w:type="dxa" w:w="1080"/>
            <w:shd w:fill="17324D"/>
            <w:tcMar>
              <w:top w:w="80" w:type="dxa"/>
              <w:start w:w="70" w:type="dxa"/>
              <w:bottom w:w="80" w:type="dxa"/>
              <w:end w:w="70" w:type="dxa"/>
            </w:tcMar>
            <w:vAlign w:val="center"/>
          </w:tcPr>
          <w:p>
            <w:pPr>
              <w:spacing w:after="0"/>
            </w:pPr>
            <w:r>
              <w:rPr>
                <w:rFonts w:ascii="Arial" w:hAnsi="Arial" w:eastAsia="Arial"/>
                <w:b/>
                <w:color w:val="FFFFFF"/>
                <w:sz w:val="14"/>
              </w:rPr>
              <w:t>Missing</w:t>
            </w:r>
          </w:p>
        </w:tc>
        <w:tc>
          <w:tcPr>
            <w:tcW w:type="dxa" w:w="2952"/>
            <w:shd w:fill="17324D"/>
            <w:tcMar>
              <w:top w:w="80" w:type="dxa"/>
              <w:start w:w="70" w:type="dxa"/>
              <w:bottom w:w="80" w:type="dxa"/>
              <w:end w:w="70" w:type="dxa"/>
            </w:tcMar>
            <w:vAlign w:val="center"/>
          </w:tcPr>
          <w:p>
            <w:pPr>
              <w:spacing w:after="0"/>
            </w:pPr>
            <w:r>
              <w:rPr>
                <w:rFonts w:ascii="Arial" w:hAnsi="Arial" w:eastAsia="Arial"/>
                <w:b/>
                <w:color w:val="FFFFFF"/>
                <w:sz w:val="14"/>
              </w:rPr>
              <w:t>Definition</w:t>
            </w:r>
          </w:p>
        </w:tc>
        <w:tc>
          <w:tcPr>
            <w:tcW w:type="dxa" w:w="3816"/>
            <w:shd w:fill="17324D"/>
            <w:tcMar>
              <w:top w:w="80" w:type="dxa"/>
              <w:start w:w="70" w:type="dxa"/>
              <w:bottom w:w="80" w:type="dxa"/>
              <w:end w:w="70" w:type="dxa"/>
            </w:tcMar>
            <w:vAlign w:val="center"/>
          </w:tcPr>
          <w:p>
            <w:pPr>
              <w:spacing w:after="0"/>
            </w:pPr>
            <w:r>
              <w:rPr>
                <w:rFonts w:ascii="Arial" w:hAnsi="Arial" w:eastAsia="Arial"/>
                <w:b/>
                <w:color w:val="FFFFFF"/>
                <w:sz w:val="14"/>
              </w:rPr>
              <w:t>Role and availability</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prior_session_idh</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binary</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0 or 1</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0 = no; 1 = yes</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830 (0.777%)</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Primary outcome in the immediately preceding observed session</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History predictor; earlier sessions only; Prior sessions only</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prior_nadir_sbp</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mmHg</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37 to 198</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830 (0.777%)</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Later nadir SBP in the preceding observed session</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History predictor; earlier sessions only; Prior sessions only</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prior_session_count</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integer</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sessions</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0 to 735</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Number of earlier eligible sessions for the patient</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History predictor; log transformed; Prior sessions only</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prior_idh_rate</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to 1</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to 1</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830 (0.777%)</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Cumulative BP-defined IDH rate across earlier sessions</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History predictor; earlier sessions only; Prior sessions only</w:t>
            </w:r>
          </w:p>
        </w:tc>
      </w:tr>
    </w:tbl>
    <w:p>
      <w:pPr>
        <w:spacing w:after="0"/>
      </w:pPr>
    </w:p>
    <w:p>
      <w:pPr>
        <w:pStyle w:val="Heading2"/>
      </w:pPr>
      <w:r>
        <w:t>Outcome and Post Index Audit</w:t>
      </w:r>
    </w:p>
    <w:tbl>
      <w:tblPr>
        <w:tblW w:type="auto" w:w="0"/>
        <w:jc w:val="center"/>
        <w:tblLayout w:type="fixed"/>
        <w:tblLook w:firstColumn="1" w:firstRow="1" w:lastColumn="0" w:lastRow="0" w:noHBand="0" w:noVBand="1" w:val="04A0"/>
        <w:tblBorders>
          <w:top w:val="single" w:sz="4" w:color="D5DDE3"/>
          <w:left w:val="single" w:sz="4" w:color="D5DDE3"/>
          <w:bottom w:val="single" w:sz="4" w:color="D5DDE3"/>
          <w:right w:val="single" w:sz="4" w:color="D5DDE3"/>
          <w:insideH w:val="single" w:sz="4" w:color="D5DDE3"/>
          <w:insideV w:val="single" w:sz="4" w:color="D5DDE3"/>
        </w:tblBorders>
      </w:tblPr>
      <w:tblGrid>
        <w:gridCol w:w="2037"/>
        <w:gridCol w:w="2037"/>
        <w:gridCol w:w="2037"/>
        <w:gridCol w:w="2037"/>
        <w:gridCol w:w="2037"/>
        <w:gridCol w:w="2037"/>
        <w:gridCol w:w="2037"/>
      </w:tblGrid>
      <w:tr>
        <w:trPr>
          <w:tblHeader w:val="true"/>
          <w:cantSplit/>
        </w:trPr>
        <w:tc>
          <w:tcPr>
            <w:tcW w:type="dxa" w:w="1872"/>
            <w:shd w:fill="17324D"/>
            <w:tcMar>
              <w:top w:w="80" w:type="dxa"/>
              <w:start w:w="70" w:type="dxa"/>
              <w:bottom w:w="80" w:type="dxa"/>
              <w:end w:w="70" w:type="dxa"/>
            </w:tcMar>
            <w:vAlign w:val="center"/>
          </w:tcPr>
          <w:p>
            <w:pPr>
              <w:spacing w:after="0"/>
            </w:pPr>
            <w:r>
              <w:rPr>
                <w:rFonts w:ascii="Arial" w:hAnsi="Arial" w:eastAsia="Arial"/>
                <w:b/>
                <w:color w:val="FFFFFF"/>
                <w:sz w:val="14"/>
              </w:rPr>
              <w:t>Variable</w:t>
            </w:r>
          </w:p>
        </w:tc>
        <w:tc>
          <w:tcPr>
            <w:tcW w:type="dxa" w:w="1008"/>
            <w:shd w:fill="17324D"/>
            <w:tcMar>
              <w:top w:w="80" w:type="dxa"/>
              <w:start w:w="70" w:type="dxa"/>
              <w:bottom w:w="80" w:type="dxa"/>
              <w:end w:w="70" w:type="dxa"/>
            </w:tcMar>
            <w:vAlign w:val="center"/>
          </w:tcPr>
          <w:p>
            <w:pPr>
              <w:spacing w:after="0"/>
            </w:pPr>
            <w:r>
              <w:rPr>
                <w:rFonts w:ascii="Arial" w:hAnsi="Arial" w:eastAsia="Arial"/>
                <w:b/>
                <w:color w:val="FFFFFF"/>
                <w:sz w:val="14"/>
              </w:rPr>
              <w:t>Type</w:t>
            </w:r>
          </w:p>
        </w:tc>
        <w:tc>
          <w:tcPr>
            <w:tcW w:type="dxa" w:w="1325"/>
            <w:shd w:fill="17324D"/>
            <w:tcMar>
              <w:top w:w="80" w:type="dxa"/>
              <w:start w:w="70" w:type="dxa"/>
              <w:bottom w:w="80" w:type="dxa"/>
              <w:end w:w="70" w:type="dxa"/>
            </w:tcMar>
            <w:vAlign w:val="center"/>
          </w:tcPr>
          <w:p>
            <w:pPr>
              <w:spacing w:after="0"/>
            </w:pPr>
            <w:r>
              <w:rPr>
                <w:rFonts w:ascii="Arial" w:hAnsi="Arial" w:eastAsia="Arial"/>
                <w:b/>
                <w:color w:val="FFFFFF"/>
                <w:sz w:val="14"/>
              </w:rPr>
              <w:t>Unit</w:t>
            </w:r>
          </w:p>
        </w:tc>
        <w:tc>
          <w:tcPr>
            <w:tcW w:type="dxa" w:w="2131"/>
            <w:shd w:fill="17324D"/>
            <w:tcMar>
              <w:top w:w="80" w:type="dxa"/>
              <w:start w:w="70" w:type="dxa"/>
              <w:bottom w:w="80" w:type="dxa"/>
              <w:end w:w="70" w:type="dxa"/>
            </w:tcMar>
            <w:vAlign w:val="center"/>
          </w:tcPr>
          <w:p>
            <w:pPr>
              <w:spacing w:after="0"/>
            </w:pPr>
            <w:r>
              <w:rPr>
                <w:rFonts w:ascii="Arial" w:hAnsi="Arial" w:eastAsia="Arial"/>
                <w:b/>
                <w:color w:val="FFFFFF"/>
                <w:sz w:val="14"/>
              </w:rPr>
              <w:t>Values or observed range</w:t>
            </w:r>
          </w:p>
        </w:tc>
        <w:tc>
          <w:tcPr>
            <w:tcW w:type="dxa" w:w="1080"/>
            <w:shd w:fill="17324D"/>
            <w:tcMar>
              <w:top w:w="80" w:type="dxa"/>
              <w:start w:w="70" w:type="dxa"/>
              <w:bottom w:w="80" w:type="dxa"/>
              <w:end w:w="70" w:type="dxa"/>
            </w:tcMar>
            <w:vAlign w:val="center"/>
          </w:tcPr>
          <w:p>
            <w:pPr>
              <w:spacing w:after="0"/>
            </w:pPr>
            <w:r>
              <w:rPr>
                <w:rFonts w:ascii="Arial" w:hAnsi="Arial" w:eastAsia="Arial"/>
                <w:b/>
                <w:color w:val="FFFFFF"/>
                <w:sz w:val="14"/>
              </w:rPr>
              <w:t>Missing</w:t>
            </w:r>
          </w:p>
        </w:tc>
        <w:tc>
          <w:tcPr>
            <w:tcW w:type="dxa" w:w="2952"/>
            <w:shd w:fill="17324D"/>
            <w:tcMar>
              <w:top w:w="80" w:type="dxa"/>
              <w:start w:w="70" w:type="dxa"/>
              <w:bottom w:w="80" w:type="dxa"/>
              <w:end w:w="70" w:type="dxa"/>
            </w:tcMar>
            <w:vAlign w:val="center"/>
          </w:tcPr>
          <w:p>
            <w:pPr>
              <w:spacing w:after="0"/>
            </w:pPr>
            <w:r>
              <w:rPr>
                <w:rFonts w:ascii="Arial" w:hAnsi="Arial" w:eastAsia="Arial"/>
                <w:b/>
                <w:color w:val="FFFFFF"/>
                <w:sz w:val="14"/>
              </w:rPr>
              <w:t>Definition</w:t>
            </w:r>
          </w:p>
        </w:tc>
        <w:tc>
          <w:tcPr>
            <w:tcW w:type="dxa" w:w="3816"/>
            <w:shd w:fill="17324D"/>
            <w:tcMar>
              <w:top w:w="80" w:type="dxa"/>
              <w:start w:w="70" w:type="dxa"/>
              <w:bottom w:w="80" w:type="dxa"/>
              <w:end w:w="70" w:type="dxa"/>
            </w:tcMar>
            <w:vAlign w:val="center"/>
          </w:tcPr>
          <w:p>
            <w:pPr>
              <w:spacing w:after="0"/>
            </w:pPr>
            <w:r>
              <w:rPr>
                <w:rFonts w:ascii="Arial" w:hAnsi="Arial" w:eastAsia="Arial"/>
                <w:b/>
                <w:color w:val="FFFFFF"/>
                <w:sz w:val="14"/>
              </w:rPr>
              <w:t>Role and availability</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later_records</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integer</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records</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2 to 1,364</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Number of records after the index measurement</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Outcome-quality audit; not a predictor; Post-index audit only</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later_distinct_minutes</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integer</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distinct minutes</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2 to 242</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Distinct elapsed-time values after the index measurement</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Eligibility; not a predictor; Post-index eligibility only</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last_observed_minute</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minutes</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120 to 370</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Latest elapsed dialysis time recorded after index</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Eligibility; not a predictor; Post-index eligibility only</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nadir_sbp</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mmHg</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37 to 198</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Lowest SBP recorded after index</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Outcome derivation; never a predictor; Post-index outcome derivation only</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mean_later_sbp</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mmHg</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64.74 to 198.67</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Mean SBP after index</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Outcome description; never a predictor; Post-index outcome description only</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idh_absolute</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binary</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or 1</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 no; 1 = yes</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Later SBP below 90 mmHg</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Primary outcome; Primary outcome</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idh_drop_20</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binary</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0 or 1</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0 = no; 1 = yes</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Later SBP at least 20 mmHg below baseline</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Sensitivity outcome; Sensitivity outcome</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idh_flythe</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binary</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or 1</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 no; 1 = yes</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Later nadir below 90 mmHg when baseline is below 160, otherwise below 100</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Sensitivity outcome; Sensitivity outcome</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dialysisstart</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time</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Clock time</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24-hour clock time as stored</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Recorded dialysis start time</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Audit; not a predictor; Audit only</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dialysisend</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time</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Clock time</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24-hour clock time as stored</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Recorded dialysis end time</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Post-index field; excluded; Post-index field; excluded</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weightend</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numeric</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kg</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30 to 164.1</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Body weight after dialysis</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Post-index field; excluded; Post-treatment field; excluded</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birthday</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integer</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year</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1,920 to 1,998</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Recorded birth year</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Used to derive age; excluded directly; Source only; replaced by age</w:t>
            </w:r>
          </w:p>
        </w:tc>
      </w:tr>
      <w:tr>
        <w:trPr>
          <w:cantSplit/>
          <w:trHeight w:hRule="atLeast"/>
        </w:trPr>
        <w:tc>
          <w:tcPr>
            <w:tcW w:type="dxa" w:w="1872"/>
            <w:vAlign w:val="top"/>
            <w:tcMar>
              <w:top w:w="65" w:type="dxa"/>
              <w:start w:w="65" w:type="dxa"/>
              <w:bottom w:w="65" w:type="dxa"/>
              <w:end w:w="65" w:type="dxa"/>
            </w:tcMar>
          </w:tcPr>
          <w:p>
            <w:pPr>
              <w:spacing w:after="0" w:line="240" w:lineRule="auto"/>
            </w:pPr>
            <w:r>
              <w:rPr>
                <w:rFonts w:ascii="Arial" w:hAnsi="Arial" w:eastAsia="Arial"/>
                <w:color w:val="202B36"/>
                <w:sz w:val="14"/>
              </w:rPr>
              <w:t>first_dialysis</w:t>
            </w:r>
          </w:p>
        </w:tc>
        <w:tc>
          <w:tcPr>
            <w:tcW w:type="dxa" w:w="1008"/>
            <w:vAlign w:val="top"/>
            <w:tcMar>
              <w:top w:w="65" w:type="dxa"/>
              <w:start w:w="65" w:type="dxa"/>
              <w:bottom w:w="65" w:type="dxa"/>
              <w:end w:w="65" w:type="dxa"/>
            </w:tcMar>
          </w:tcPr>
          <w:p>
            <w:pPr>
              <w:spacing w:after="0" w:line="240" w:lineRule="auto"/>
            </w:pPr>
            <w:r>
              <w:rPr>
                <w:rFonts w:ascii="Arial" w:hAnsi="Arial" w:eastAsia="Arial"/>
                <w:color w:val="202B36"/>
                <w:sz w:val="14"/>
              </w:rPr>
              <w:t>date</w:t>
            </w:r>
          </w:p>
        </w:tc>
        <w:tc>
          <w:tcPr>
            <w:tcW w:type="dxa" w:w="1325"/>
            <w:vAlign w:val="top"/>
            <w:tcMar>
              <w:top w:w="65" w:type="dxa"/>
              <w:start w:w="65" w:type="dxa"/>
              <w:bottom w:w="65" w:type="dxa"/>
              <w:end w:w="65" w:type="dxa"/>
            </w:tcMar>
          </w:tcPr>
          <w:p>
            <w:pPr>
              <w:spacing w:after="0" w:line="240" w:lineRule="auto"/>
            </w:pPr>
            <w:r>
              <w:rPr>
                <w:rFonts w:ascii="Arial" w:hAnsi="Arial" w:eastAsia="Arial"/>
                <w:color w:val="202B36"/>
                <w:sz w:val="14"/>
              </w:rPr>
              <w:t>Year and month</w:t>
            </w:r>
          </w:p>
        </w:tc>
        <w:tc>
          <w:tcPr>
            <w:tcW w:type="dxa" w:w="2131"/>
            <w:vAlign w:val="top"/>
            <w:tcMar>
              <w:top w:w="65" w:type="dxa"/>
              <w:start w:w="65" w:type="dxa"/>
              <w:bottom w:w="65" w:type="dxa"/>
              <w:end w:w="65" w:type="dxa"/>
            </w:tcMar>
          </w:tcPr>
          <w:p>
            <w:pPr>
              <w:spacing w:after="0" w:line="240" w:lineRule="auto"/>
            </w:pPr>
            <w:r>
              <w:rPr>
                <w:rFonts w:ascii="Arial" w:hAnsi="Arial" w:eastAsia="Arial"/>
                <w:color w:val="202B36"/>
                <w:sz w:val="14"/>
              </w:rPr>
              <w:t>1990-01-01 to 2016-01-01</w:t>
            </w:r>
          </w:p>
        </w:tc>
        <w:tc>
          <w:tcPr>
            <w:tcW w:type="dxa" w:w="1080"/>
            <w:vAlign w:val="top"/>
            <w:tcMar>
              <w:top w:w="65" w:type="dxa"/>
              <w:start w:w="65" w:type="dxa"/>
              <w:bottom w:w="65" w:type="dxa"/>
              <w:end w:w="65" w:type="dxa"/>
            </w:tcMar>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tcPr>
          <w:p>
            <w:pPr>
              <w:spacing w:after="0" w:line="240" w:lineRule="auto"/>
            </w:pPr>
            <w:r>
              <w:rPr>
                <w:rFonts w:ascii="Arial" w:hAnsi="Arial" w:eastAsia="Arial"/>
                <w:color w:val="202B36"/>
                <w:sz w:val="14"/>
              </w:rPr>
              <w:t>Recorded month of first dialysis</w:t>
            </w:r>
          </w:p>
        </w:tc>
        <w:tc>
          <w:tcPr>
            <w:tcW w:type="dxa" w:w="3816"/>
            <w:vAlign w:val="top"/>
            <w:tcMar>
              <w:top w:w="65" w:type="dxa"/>
              <w:start w:w="65" w:type="dxa"/>
              <w:bottom w:w="65" w:type="dxa"/>
              <w:end w:w="65" w:type="dxa"/>
            </w:tcMar>
          </w:tcPr>
          <w:p>
            <w:pPr>
              <w:spacing w:after="0" w:line="240" w:lineRule="auto"/>
            </w:pPr>
            <w:r>
              <w:rPr>
                <w:rFonts w:ascii="Arial" w:hAnsi="Arial" w:eastAsia="Arial"/>
                <w:color w:val="202B36"/>
                <w:sz w:val="14"/>
              </w:rPr>
              <w:t>Used to derive vintage; Source only; replaced by vintage</w:t>
            </w:r>
          </w:p>
        </w:tc>
      </w:tr>
      <w:tr>
        <w:trPr>
          <w:cantSplit/>
          <w:trHeight w:hRule="atLeast"/>
        </w:trPr>
        <w:tc>
          <w:tcPr>
            <w:tcW w:type="dxa" w:w="187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session_year</w:t>
            </w:r>
          </w:p>
        </w:tc>
        <w:tc>
          <w:tcPr>
            <w:tcW w:type="dxa" w:w="1008"/>
            <w:vAlign w:val="top"/>
            <w:tcMar>
              <w:top w:w="65" w:type="dxa"/>
              <w:start w:w="65" w:type="dxa"/>
              <w:bottom w:w="65" w:type="dxa"/>
              <w:end w:w="65" w:type="dxa"/>
            </w:tcMar>
            <w:shd w:fill="F7FAFC"/>
          </w:tcPr>
          <w:p>
            <w:pPr>
              <w:spacing w:after="0" w:line="240" w:lineRule="auto"/>
            </w:pPr>
            <w:r>
              <w:rPr>
                <w:rFonts w:ascii="Arial" w:hAnsi="Arial" w:eastAsia="Arial"/>
                <w:color w:val="202B36"/>
                <w:sz w:val="14"/>
              </w:rPr>
              <w:t>integer</w:t>
            </w:r>
          </w:p>
        </w:tc>
        <w:tc>
          <w:tcPr>
            <w:tcW w:type="dxa" w:w="1325"/>
            <w:vAlign w:val="top"/>
            <w:tcMar>
              <w:top w:w="65" w:type="dxa"/>
              <w:start w:w="65" w:type="dxa"/>
              <w:bottom w:w="65" w:type="dxa"/>
              <w:end w:w="65" w:type="dxa"/>
            </w:tcMar>
            <w:shd w:fill="F7FAFC"/>
          </w:tcPr>
          <w:p>
            <w:pPr>
              <w:spacing w:after="0" w:line="240" w:lineRule="auto"/>
            </w:pPr>
            <w:r>
              <w:rPr>
                <w:rFonts w:ascii="Arial" w:hAnsi="Arial" w:eastAsia="Arial"/>
                <w:color w:val="202B36"/>
                <w:sz w:val="14"/>
              </w:rPr>
              <w:t>year</w:t>
            </w:r>
          </w:p>
        </w:tc>
        <w:tc>
          <w:tcPr>
            <w:tcW w:type="dxa" w:w="2131"/>
            <w:vAlign w:val="top"/>
            <w:tcMar>
              <w:top w:w="65" w:type="dxa"/>
              <w:start w:w="65" w:type="dxa"/>
              <w:bottom w:w="65" w:type="dxa"/>
              <w:end w:w="65" w:type="dxa"/>
            </w:tcMar>
            <w:shd w:fill="F7FAFC"/>
          </w:tcPr>
          <w:p>
            <w:pPr>
              <w:spacing w:after="0" w:line="240" w:lineRule="auto"/>
            </w:pPr>
            <w:r>
              <w:rPr>
                <w:rFonts w:ascii="Arial" w:hAnsi="Arial" w:eastAsia="Arial"/>
                <w:color w:val="202B36"/>
                <w:sz w:val="14"/>
              </w:rPr>
              <w:t>2,013 to 2,018</w:t>
            </w:r>
          </w:p>
        </w:tc>
        <w:tc>
          <w:tcPr>
            <w:tcW w:type="dxa" w:w="1080"/>
            <w:vAlign w:val="top"/>
            <w:tcMar>
              <w:top w:w="65" w:type="dxa"/>
              <w:start w:w="65" w:type="dxa"/>
              <w:bottom w:w="65" w:type="dxa"/>
              <w:end w:w="65" w:type="dxa"/>
            </w:tcMar>
            <w:shd w:fill="F7FAFC"/>
          </w:tcPr>
          <w:p>
            <w:pPr>
              <w:spacing w:after="0" w:line="240" w:lineRule="auto"/>
            </w:pPr>
            <w:r>
              <w:rPr>
                <w:rFonts w:ascii="Arial" w:hAnsi="Arial" w:eastAsia="Arial"/>
                <w:color w:val="202B36"/>
                <w:sz w:val="14"/>
              </w:rPr>
              <w:t>0 (0.000%)</w:t>
            </w:r>
          </w:p>
        </w:tc>
        <w:tc>
          <w:tcPr>
            <w:tcW w:type="dxa" w:w="2952"/>
            <w:vAlign w:val="top"/>
            <w:tcMar>
              <w:top w:w="65" w:type="dxa"/>
              <w:start w:w="65" w:type="dxa"/>
              <w:bottom w:w="65" w:type="dxa"/>
              <w:end w:w="65" w:type="dxa"/>
            </w:tcMar>
            <w:shd w:fill="F7FAFC"/>
          </w:tcPr>
          <w:p>
            <w:pPr>
              <w:spacing w:after="0" w:line="240" w:lineRule="auto"/>
            </w:pPr>
            <w:r>
              <w:rPr>
                <w:rFonts w:ascii="Arial" w:hAnsi="Arial" w:eastAsia="Arial"/>
                <w:color w:val="202B36"/>
                <w:sz w:val="14"/>
              </w:rPr>
              <w:t>Calendar year of the session</w:t>
            </w:r>
          </w:p>
        </w:tc>
        <w:tc>
          <w:tcPr>
            <w:tcW w:type="dxa" w:w="3816"/>
            <w:vAlign w:val="top"/>
            <w:tcMar>
              <w:top w:w="65" w:type="dxa"/>
              <w:start w:w="65" w:type="dxa"/>
              <w:bottom w:w="65" w:type="dxa"/>
              <w:end w:w="65" w:type="dxa"/>
            </w:tcMar>
            <w:shd w:fill="F7FAFC"/>
          </w:tcPr>
          <w:p>
            <w:pPr>
              <w:spacing w:after="0" w:line="240" w:lineRule="auto"/>
            </w:pPr>
            <w:r>
              <w:rPr>
                <w:rFonts w:ascii="Arial" w:hAnsi="Arial" w:eastAsia="Arial"/>
                <w:color w:val="202B36"/>
                <w:sz w:val="14"/>
              </w:rPr>
              <w:t>Temporal audit; excluded from model; Temporal audit only</w:t>
            </w:r>
          </w:p>
        </w:tc>
      </w:tr>
    </w:tbl>
    <w:p>
      <w:pPr>
        <w:spacing w:after="0"/>
      </w:pPr>
    </w:p>
    <w:sectPr w:rsidR="00FC693F" w:rsidRPr="0006063C" w:rsidSect="00034616">
      <w:pgSz w:w="15840" w:h="12240" w:orient="landscape"/>
      <w:pgMar w:top="835" w:right="792" w:bottom="936" w:left="792"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Arial" w:hAnsi="Arial" w:eastAsia="Arial"/>
        <w:color w:val="596875"/>
        <w:sz w:val="14"/>
      </w:rPr>
      <w:t xml:space="preserve">Franklin Guillano   Data Collection and Understanding   </w:t>
    </w:r>
    <w:r>
      <w:rPr>
        <w:rFonts w:ascii="Arial" w:hAnsi="Arial" w:eastAsia="Arial"/>
        <w:color w:val="596875"/>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color w:val="1D6F8A"/>
        <w:sz w:val="15"/>
      </w:rPr>
      <w:t>DIAL ALERT CAPSTONE STEP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20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D6F8A"/>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Arial"/>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rial" w:hAnsi="Arial" w:eastAsia="Arial"/>
      <w:b/>
      <w:bCs/>
      <w:i/>
      <w:color w:val="59687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DIAL ALERT Data Collection and Understanding</dc:title>
  <dc:subject>Capstone Project Step 2 Dataset Overview and Data Dictionary</dc:subject>
  <dc:creator>Franklin B. Guillano</dc:creator>
  <cp:keywords>DIAL ALERT, HEMOBP, hemodialysis, data dictionary, capstone</cp:keywords>
  <dc:description>DIAL-ALERT academic capstone</dc:description>
  <cp:lastModifiedBy>Franklin B. Guillano</cp:lastModifiedBy>
  <cp:revision>1</cp:revision>
  <dcterms:created xsi:type="dcterms:W3CDTF">2026-09-17T00:00:00Z</dcterms:created>
  <dcterms:modified xsi:type="dcterms:W3CDTF">2026-09-17T00:00:00Z</dcterms:modified>
  <cp:category/>
</cp:coreProperties>
</file>