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BC2931" w14:textId="77777777" w:rsidR="00E00B43" w:rsidRDefault="00E00B43">
      <w:pPr>
        <w:spacing w:after="480"/>
      </w:pPr>
    </w:p>
    <w:p w14:paraId="7984EC61" w14:textId="77777777" w:rsidR="00E00B43" w:rsidRDefault="00000000">
      <w:pPr>
        <w:pStyle w:val="Title"/>
        <w:jc w:val="center"/>
      </w:pPr>
      <w:r>
        <w:rPr>
          <w:rFonts w:ascii="Arial" w:eastAsia="Arial" w:hAnsi="Arial"/>
          <w:sz w:val="58"/>
        </w:rPr>
        <w:t>DIAL ALERT Capstone Final Report</w:t>
      </w:r>
    </w:p>
    <w:p w14:paraId="7B6D2C30" w14:textId="77777777" w:rsidR="00E00B43" w:rsidRDefault="00000000">
      <w:pPr>
        <w:pStyle w:val="Subtitle"/>
        <w:jc w:val="center"/>
      </w:pPr>
      <w:r>
        <w:rPr>
          <w:rFonts w:ascii="Arial" w:eastAsia="Arial" w:hAnsi="Arial"/>
        </w:rPr>
        <w:t>Early prediction of blood pressure defined intradialytic hypotension</w:t>
      </w:r>
    </w:p>
    <w:p w14:paraId="26451D4F" w14:textId="77777777" w:rsidR="00E00B43" w:rsidRDefault="00000000">
      <w:pPr>
        <w:spacing w:before="360"/>
        <w:jc w:val="center"/>
      </w:pPr>
      <w:r>
        <w:rPr>
          <w:rFonts w:eastAsia="Arial"/>
          <w:b/>
          <w:sz w:val="24"/>
        </w:rPr>
        <w:t>Franklin B. Guillano</w:t>
      </w:r>
    </w:p>
    <w:p w14:paraId="44821A85" w14:textId="77777777" w:rsidR="00E00B43" w:rsidRDefault="00000000">
      <w:pPr>
        <w:jc w:val="center"/>
      </w:pPr>
      <w:r>
        <w:rPr>
          <w:rFonts w:eastAsia="Arial"/>
          <w:color w:val="6B7280"/>
        </w:rPr>
        <w:t>September 2026</w:t>
      </w:r>
    </w:p>
    <w:p w14:paraId="4E402A58" w14:textId="77777777" w:rsidR="00E00B43" w:rsidRDefault="00E00B43">
      <w:pPr>
        <w:spacing w:after="240"/>
      </w:pPr>
    </w:p>
    <w:tbl>
      <w:tblPr>
        <w:tblW w:w="0" w:type="auto"/>
        <w:jc w:val="center"/>
        <w:tblLayout w:type="fixed"/>
        <w:tblLook w:val="04A0" w:firstRow="1" w:lastRow="0" w:firstColumn="1" w:lastColumn="0" w:noHBand="0" w:noVBand="1"/>
      </w:tblPr>
      <w:tblGrid>
        <w:gridCol w:w="2520"/>
        <w:gridCol w:w="2232"/>
        <w:gridCol w:w="2088"/>
        <w:gridCol w:w="2520"/>
      </w:tblGrid>
      <w:tr w:rsidR="00E00B43" w14:paraId="7C70E6A5" w14:textId="77777777">
        <w:trPr>
          <w:tblHeader/>
          <w:jc w:val="center"/>
        </w:trPr>
        <w:tc>
          <w:tcPr>
            <w:tcW w:w="2520" w:type="dxa"/>
            <w:tcBorders>
              <w:top w:val="single" w:sz="6" w:space="0" w:color="D9D9D9"/>
              <w:left w:val="single" w:sz="6" w:space="0" w:color="D9D9D9"/>
              <w:bottom w:val="single" w:sz="6" w:space="0" w:color="D9D9D9"/>
              <w:right w:val="single" w:sz="6" w:space="0" w:color="D9D9D9"/>
            </w:tcBorders>
            <w:shd w:val="clear" w:color="auto" w:fill="0B5C8E"/>
            <w:tcMar>
              <w:top w:w="150" w:type="dxa"/>
              <w:left w:w="100" w:type="dxa"/>
              <w:bottom w:w="150" w:type="dxa"/>
              <w:right w:w="100" w:type="dxa"/>
            </w:tcMar>
            <w:vAlign w:val="center"/>
          </w:tcPr>
          <w:p w14:paraId="0EA55D7F" w14:textId="77777777" w:rsidR="00E00B43" w:rsidRDefault="00000000">
            <w:pPr>
              <w:jc w:val="center"/>
            </w:pPr>
            <w:r>
              <w:rPr>
                <w:rFonts w:eastAsia="Arial"/>
                <w:b/>
                <w:color w:val="FFFFFF"/>
                <w:sz w:val="18"/>
              </w:rPr>
              <w:t>Analytic cohort</w:t>
            </w:r>
          </w:p>
        </w:tc>
        <w:tc>
          <w:tcPr>
            <w:tcW w:w="2232" w:type="dxa"/>
            <w:tcBorders>
              <w:top w:val="single" w:sz="6" w:space="0" w:color="D9D9D9"/>
              <w:left w:val="single" w:sz="6" w:space="0" w:color="D9D9D9"/>
              <w:bottom w:val="single" w:sz="6" w:space="0" w:color="D9D9D9"/>
              <w:right w:val="single" w:sz="6" w:space="0" w:color="D9D9D9"/>
            </w:tcBorders>
            <w:shd w:val="clear" w:color="auto" w:fill="0B5C8E"/>
            <w:tcMar>
              <w:top w:w="150" w:type="dxa"/>
              <w:left w:w="100" w:type="dxa"/>
              <w:bottom w:w="150" w:type="dxa"/>
              <w:right w:w="100" w:type="dxa"/>
            </w:tcMar>
            <w:vAlign w:val="center"/>
          </w:tcPr>
          <w:p w14:paraId="79007759" w14:textId="77777777" w:rsidR="00E00B43" w:rsidRDefault="00000000">
            <w:pPr>
              <w:jc w:val="center"/>
            </w:pPr>
            <w:r>
              <w:rPr>
                <w:rFonts w:eastAsia="Arial"/>
                <w:b/>
                <w:color w:val="FFFFFF"/>
                <w:sz w:val="18"/>
              </w:rPr>
              <w:t>Primary event rate</w:t>
            </w:r>
          </w:p>
        </w:tc>
        <w:tc>
          <w:tcPr>
            <w:tcW w:w="2088" w:type="dxa"/>
            <w:tcBorders>
              <w:top w:val="single" w:sz="6" w:space="0" w:color="D9D9D9"/>
              <w:left w:val="single" w:sz="6" w:space="0" w:color="D9D9D9"/>
              <w:bottom w:val="single" w:sz="6" w:space="0" w:color="D9D9D9"/>
              <w:right w:val="single" w:sz="6" w:space="0" w:color="D9D9D9"/>
            </w:tcBorders>
            <w:shd w:val="clear" w:color="auto" w:fill="0B5C8E"/>
            <w:tcMar>
              <w:top w:w="150" w:type="dxa"/>
              <w:left w:w="100" w:type="dxa"/>
              <w:bottom w:w="150" w:type="dxa"/>
              <w:right w:w="100" w:type="dxa"/>
            </w:tcMar>
            <w:vAlign w:val="center"/>
          </w:tcPr>
          <w:p w14:paraId="21EF839A" w14:textId="77777777" w:rsidR="00E00B43" w:rsidRDefault="00000000">
            <w:pPr>
              <w:jc w:val="center"/>
            </w:pPr>
            <w:r>
              <w:rPr>
                <w:rFonts w:eastAsia="Arial"/>
                <w:b/>
                <w:color w:val="FFFFFF"/>
                <w:sz w:val="18"/>
              </w:rPr>
              <w:t>Test ROC AUC</w:t>
            </w:r>
          </w:p>
        </w:tc>
        <w:tc>
          <w:tcPr>
            <w:tcW w:w="2520" w:type="dxa"/>
            <w:tcBorders>
              <w:top w:val="single" w:sz="6" w:space="0" w:color="D9D9D9"/>
              <w:left w:val="single" w:sz="6" w:space="0" w:color="D9D9D9"/>
              <w:bottom w:val="single" w:sz="6" w:space="0" w:color="D9D9D9"/>
              <w:right w:val="single" w:sz="6" w:space="0" w:color="D9D9D9"/>
            </w:tcBorders>
            <w:shd w:val="clear" w:color="auto" w:fill="0B5C8E"/>
            <w:tcMar>
              <w:top w:w="150" w:type="dxa"/>
              <w:left w:w="100" w:type="dxa"/>
              <w:bottom w:w="150" w:type="dxa"/>
              <w:right w:w="100" w:type="dxa"/>
            </w:tcMar>
            <w:vAlign w:val="center"/>
          </w:tcPr>
          <w:p w14:paraId="7C985E91" w14:textId="77777777" w:rsidR="00E00B43" w:rsidRDefault="00000000">
            <w:pPr>
              <w:jc w:val="center"/>
            </w:pPr>
            <w:r>
              <w:rPr>
                <w:rFonts w:eastAsia="Arial"/>
                <w:b/>
                <w:color w:val="FFFFFF"/>
                <w:sz w:val="18"/>
              </w:rPr>
              <w:t>Test average precision</w:t>
            </w:r>
          </w:p>
        </w:tc>
      </w:tr>
      <w:tr w:rsidR="00E00B43" w14:paraId="3AFDD14E" w14:textId="77777777">
        <w:trPr>
          <w:cantSplit/>
          <w:jc w:val="center"/>
        </w:trPr>
        <w:tc>
          <w:tcPr>
            <w:tcW w:w="2520" w:type="dxa"/>
            <w:tcBorders>
              <w:top w:val="single" w:sz="6" w:space="0" w:color="D9D9D9"/>
              <w:left w:val="single" w:sz="6" w:space="0" w:color="D9D9D9"/>
              <w:bottom w:val="single" w:sz="6" w:space="0" w:color="D9D9D9"/>
              <w:right w:val="single" w:sz="6" w:space="0" w:color="D9D9D9"/>
            </w:tcBorders>
            <w:shd w:val="clear" w:color="auto" w:fill="FFFFFF"/>
            <w:tcMar>
              <w:top w:w="150" w:type="dxa"/>
              <w:left w:w="100" w:type="dxa"/>
              <w:bottom w:w="150" w:type="dxa"/>
              <w:right w:w="100" w:type="dxa"/>
            </w:tcMar>
            <w:vAlign w:val="center"/>
          </w:tcPr>
          <w:p w14:paraId="124D3F75" w14:textId="77777777" w:rsidR="00E00B43" w:rsidRDefault="00000000">
            <w:r>
              <w:rPr>
                <w:rFonts w:eastAsia="Arial"/>
                <w:sz w:val="18"/>
              </w:rPr>
              <w:t>106,758 sessions</w:t>
            </w:r>
          </w:p>
        </w:tc>
        <w:tc>
          <w:tcPr>
            <w:tcW w:w="2232" w:type="dxa"/>
            <w:tcBorders>
              <w:top w:val="single" w:sz="6" w:space="0" w:color="D9D9D9"/>
              <w:left w:val="single" w:sz="6" w:space="0" w:color="D9D9D9"/>
              <w:bottom w:val="single" w:sz="6" w:space="0" w:color="D9D9D9"/>
              <w:right w:val="single" w:sz="6" w:space="0" w:color="D9D9D9"/>
            </w:tcBorders>
            <w:shd w:val="clear" w:color="auto" w:fill="FFFFFF"/>
            <w:tcMar>
              <w:top w:w="150" w:type="dxa"/>
              <w:left w:w="100" w:type="dxa"/>
              <w:bottom w:w="150" w:type="dxa"/>
              <w:right w:w="100" w:type="dxa"/>
            </w:tcMar>
            <w:vAlign w:val="center"/>
          </w:tcPr>
          <w:p w14:paraId="38881431" w14:textId="77777777" w:rsidR="00E00B43" w:rsidRDefault="00000000">
            <w:pPr>
              <w:jc w:val="center"/>
            </w:pPr>
            <w:r>
              <w:rPr>
                <w:rFonts w:eastAsia="Arial"/>
                <w:sz w:val="18"/>
              </w:rPr>
              <w:t>8.49%</w:t>
            </w:r>
          </w:p>
        </w:tc>
        <w:tc>
          <w:tcPr>
            <w:tcW w:w="2088" w:type="dxa"/>
            <w:tcBorders>
              <w:top w:val="single" w:sz="6" w:space="0" w:color="D9D9D9"/>
              <w:left w:val="single" w:sz="6" w:space="0" w:color="D9D9D9"/>
              <w:bottom w:val="single" w:sz="6" w:space="0" w:color="D9D9D9"/>
              <w:right w:val="single" w:sz="6" w:space="0" w:color="D9D9D9"/>
            </w:tcBorders>
            <w:shd w:val="clear" w:color="auto" w:fill="FFFFFF"/>
            <w:tcMar>
              <w:top w:w="150" w:type="dxa"/>
              <w:left w:w="100" w:type="dxa"/>
              <w:bottom w:w="150" w:type="dxa"/>
              <w:right w:w="100" w:type="dxa"/>
            </w:tcMar>
            <w:vAlign w:val="center"/>
          </w:tcPr>
          <w:p w14:paraId="577B677A" w14:textId="77777777" w:rsidR="00E00B43" w:rsidRDefault="00000000">
            <w:pPr>
              <w:jc w:val="center"/>
            </w:pPr>
            <w:r>
              <w:rPr>
                <w:rFonts w:eastAsia="Arial"/>
                <w:sz w:val="18"/>
              </w:rPr>
              <w:t>0.852</w:t>
            </w:r>
          </w:p>
        </w:tc>
        <w:tc>
          <w:tcPr>
            <w:tcW w:w="2520" w:type="dxa"/>
            <w:tcBorders>
              <w:top w:val="single" w:sz="6" w:space="0" w:color="D9D9D9"/>
              <w:left w:val="single" w:sz="6" w:space="0" w:color="D9D9D9"/>
              <w:bottom w:val="single" w:sz="6" w:space="0" w:color="D9D9D9"/>
              <w:right w:val="single" w:sz="6" w:space="0" w:color="D9D9D9"/>
            </w:tcBorders>
            <w:shd w:val="clear" w:color="auto" w:fill="FFFFFF"/>
            <w:tcMar>
              <w:top w:w="150" w:type="dxa"/>
              <w:left w:w="100" w:type="dxa"/>
              <w:bottom w:w="150" w:type="dxa"/>
              <w:right w:w="100" w:type="dxa"/>
            </w:tcMar>
            <w:vAlign w:val="center"/>
          </w:tcPr>
          <w:p w14:paraId="343D9EB2" w14:textId="77777777" w:rsidR="00E00B43" w:rsidRDefault="00000000">
            <w:pPr>
              <w:jc w:val="center"/>
            </w:pPr>
            <w:r>
              <w:rPr>
                <w:rFonts w:eastAsia="Arial"/>
                <w:sz w:val="18"/>
              </w:rPr>
              <w:t>0.395</w:t>
            </w:r>
          </w:p>
        </w:tc>
      </w:tr>
    </w:tbl>
    <w:p w14:paraId="3653717B" w14:textId="77777777" w:rsidR="00E00B43" w:rsidRDefault="00E00B43">
      <w:pPr>
        <w:spacing w:after="20"/>
      </w:pPr>
    </w:p>
    <w:p w14:paraId="3A3554D9" w14:textId="77777777" w:rsidR="00E00B43" w:rsidRDefault="00000000">
      <w:pPr>
        <w:spacing w:before="440"/>
        <w:ind w:left="792" w:right="792"/>
        <w:jc w:val="center"/>
      </w:pPr>
      <w:r>
        <w:rPr>
          <w:rFonts w:eastAsia="Arial"/>
          <w:b/>
          <w:color w:val="E76F51"/>
        </w:rPr>
        <w:t>Academic clinical decision support prototype. The model is not a diagnostic device and is not ready for clinical deployment.</w:t>
      </w:r>
    </w:p>
    <w:p w14:paraId="2B04E884" w14:textId="77777777" w:rsidR="00E00B43" w:rsidRDefault="00000000">
      <w:pPr>
        <w:ind w:left="648" w:right="648"/>
        <w:jc w:val="center"/>
      </w:pPr>
      <w:r>
        <w:rPr>
          <w:rFonts w:eastAsia="Arial"/>
        </w:rPr>
        <w:t>This report consolidates problem framing, data understanding, preprocessing, exploratory analysis, feature engineering, model comparison, explainability, fairness auditing, business translation, and reproducibility.</w:t>
      </w:r>
    </w:p>
    <w:p w14:paraId="7658E811" w14:textId="77777777" w:rsidR="00E00B43" w:rsidRDefault="00000000">
      <w:r>
        <w:br w:type="page"/>
      </w:r>
    </w:p>
    <w:p w14:paraId="4BCBC564" w14:textId="77777777" w:rsidR="00E00B43" w:rsidRDefault="00000000">
      <w:pPr>
        <w:pStyle w:val="Heading1"/>
      </w:pPr>
      <w:r>
        <w:lastRenderedPageBreak/>
        <w:t>Report Structure</w:t>
      </w:r>
    </w:p>
    <w:p w14:paraId="636078D9" w14:textId="77777777" w:rsidR="00E00B43" w:rsidRDefault="00000000">
      <w:r>
        <w:rPr>
          <w:rFonts w:eastAsia="Arial"/>
        </w:rPr>
        <w:t>The report follows the machine-learning lifecycle and the seven graded capstone steps. Each section distinguishes observed evidence from interpretation and proposed future work.</w:t>
      </w:r>
    </w:p>
    <w:tbl>
      <w:tblPr>
        <w:tblW w:w="0" w:type="auto"/>
        <w:jc w:val="center"/>
        <w:tblLayout w:type="fixed"/>
        <w:tblLook w:val="04A0" w:firstRow="1" w:lastRow="0" w:firstColumn="1" w:lastColumn="0" w:noHBand="0" w:noVBand="1"/>
      </w:tblPr>
      <w:tblGrid>
        <w:gridCol w:w="3672"/>
        <w:gridCol w:w="5976"/>
      </w:tblGrid>
      <w:tr w:rsidR="00E00B43" w14:paraId="2E73C74B" w14:textId="77777777">
        <w:trPr>
          <w:tblHeader/>
          <w:jc w:val="center"/>
        </w:trPr>
        <w:tc>
          <w:tcPr>
            <w:tcW w:w="3672" w:type="dxa"/>
            <w:tcBorders>
              <w:top w:val="single" w:sz="6" w:space="0" w:color="D9D9D9"/>
              <w:left w:val="single" w:sz="6" w:space="0" w:color="D9D9D9"/>
              <w:bottom w:val="single" w:sz="6" w:space="0" w:color="D9D9D9"/>
              <w:right w:val="single" w:sz="6" w:space="0" w:color="D9D9D9"/>
            </w:tcBorders>
            <w:shd w:val="clear" w:color="auto" w:fill="0B5C8E"/>
            <w:tcMar>
              <w:top w:w="90" w:type="dxa"/>
              <w:left w:w="100" w:type="dxa"/>
              <w:bottom w:w="90" w:type="dxa"/>
              <w:right w:w="100" w:type="dxa"/>
            </w:tcMar>
            <w:vAlign w:val="center"/>
          </w:tcPr>
          <w:p w14:paraId="07090FC7" w14:textId="77777777" w:rsidR="00E00B43" w:rsidRDefault="00000000">
            <w:pPr>
              <w:jc w:val="center"/>
            </w:pPr>
            <w:r>
              <w:rPr>
                <w:rFonts w:eastAsia="Arial"/>
                <w:b/>
                <w:color w:val="FFFFFF"/>
                <w:sz w:val="17"/>
              </w:rPr>
              <w:t>Section</w:t>
            </w:r>
          </w:p>
        </w:tc>
        <w:tc>
          <w:tcPr>
            <w:tcW w:w="5976" w:type="dxa"/>
            <w:tcBorders>
              <w:top w:val="single" w:sz="6" w:space="0" w:color="D9D9D9"/>
              <w:left w:val="single" w:sz="6" w:space="0" w:color="D9D9D9"/>
              <w:bottom w:val="single" w:sz="6" w:space="0" w:color="D9D9D9"/>
              <w:right w:val="single" w:sz="6" w:space="0" w:color="D9D9D9"/>
            </w:tcBorders>
            <w:shd w:val="clear" w:color="auto" w:fill="0B5C8E"/>
            <w:tcMar>
              <w:top w:w="90" w:type="dxa"/>
              <w:left w:w="100" w:type="dxa"/>
              <w:bottom w:w="90" w:type="dxa"/>
              <w:right w:w="100" w:type="dxa"/>
            </w:tcMar>
            <w:vAlign w:val="center"/>
          </w:tcPr>
          <w:p w14:paraId="01AEEAD6" w14:textId="77777777" w:rsidR="00E00B43" w:rsidRDefault="00000000">
            <w:pPr>
              <w:jc w:val="center"/>
            </w:pPr>
            <w:r>
              <w:rPr>
                <w:rFonts w:eastAsia="Arial"/>
                <w:b/>
                <w:color w:val="FFFFFF"/>
                <w:sz w:val="17"/>
              </w:rPr>
              <w:t>Purpose</w:t>
            </w:r>
          </w:p>
        </w:tc>
      </w:tr>
      <w:tr w:rsidR="00E00B43" w14:paraId="0BFAA832" w14:textId="77777777">
        <w:trPr>
          <w:cantSplit/>
          <w:jc w:val="center"/>
        </w:trPr>
        <w:tc>
          <w:tcPr>
            <w:tcW w:w="3672"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2AB160E4" w14:textId="77777777" w:rsidR="00E00B43" w:rsidRDefault="00000000">
            <w:r>
              <w:rPr>
                <w:rFonts w:eastAsia="Arial"/>
                <w:sz w:val="17"/>
              </w:rPr>
              <w:t>Executive Summary</w:t>
            </w:r>
          </w:p>
        </w:tc>
        <w:tc>
          <w:tcPr>
            <w:tcW w:w="5976"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71DED0BC" w14:textId="77777777" w:rsidR="00E00B43" w:rsidRDefault="00000000">
            <w:r>
              <w:rPr>
                <w:rFonts w:eastAsia="Arial"/>
                <w:sz w:val="17"/>
              </w:rPr>
              <w:t>Main result, operational meaning, and recommendation</w:t>
            </w:r>
          </w:p>
        </w:tc>
      </w:tr>
      <w:tr w:rsidR="00E00B43" w14:paraId="550E0326" w14:textId="77777777">
        <w:trPr>
          <w:cantSplit/>
          <w:jc w:val="center"/>
        </w:trPr>
        <w:tc>
          <w:tcPr>
            <w:tcW w:w="3672"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2A134F39" w14:textId="77777777" w:rsidR="00E00B43" w:rsidRDefault="00000000">
            <w:r>
              <w:rPr>
                <w:rFonts w:eastAsia="Arial"/>
                <w:sz w:val="17"/>
              </w:rPr>
              <w:t>1 Problem Understanding and Framing</w:t>
            </w:r>
          </w:p>
        </w:tc>
        <w:tc>
          <w:tcPr>
            <w:tcW w:w="5976"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41D2F501" w14:textId="77777777" w:rsidR="00E00B43" w:rsidRDefault="00000000">
            <w:r>
              <w:rPr>
                <w:rFonts w:eastAsia="Arial"/>
                <w:sz w:val="17"/>
              </w:rPr>
              <w:t>Clinical context, task type, metrics, and business KPIs</w:t>
            </w:r>
          </w:p>
        </w:tc>
      </w:tr>
      <w:tr w:rsidR="00E00B43" w14:paraId="340006E4" w14:textId="77777777">
        <w:trPr>
          <w:cantSplit/>
          <w:jc w:val="center"/>
        </w:trPr>
        <w:tc>
          <w:tcPr>
            <w:tcW w:w="3672"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159BB634" w14:textId="77777777" w:rsidR="00E00B43" w:rsidRDefault="00000000">
            <w:r>
              <w:rPr>
                <w:rFonts w:eastAsia="Arial"/>
                <w:sz w:val="17"/>
              </w:rPr>
              <w:t>2 Data Collection and Understanding</w:t>
            </w:r>
          </w:p>
        </w:tc>
        <w:tc>
          <w:tcPr>
            <w:tcW w:w="5976"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11A9A3DD" w14:textId="77777777" w:rsidR="00E00B43" w:rsidRDefault="00000000">
            <w:r>
              <w:rPr>
                <w:rFonts w:eastAsia="Arial"/>
                <w:sz w:val="17"/>
              </w:rPr>
              <w:t>Provenance, cohort, variables, quality, and license</w:t>
            </w:r>
          </w:p>
        </w:tc>
      </w:tr>
      <w:tr w:rsidR="00E00B43" w14:paraId="6B4AEA57" w14:textId="77777777">
        <w:trPr>
          <w:cantSplit/>
          <w:jc w:val="center"/>
        </w:trPr>
        <w:tc>
          <w:tcPr>
            <w:tcW w:w="3672"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001515C0" w14:textId="77777777" w:rsidR="00E00B43" w:rsidRDefault="00000000">
            <w:r>
              <w:rPr>
                <w:rFonts w:eastAsia="Arial"/>
                <w:sz w:val="17"/>
              </w:rPr>
              <w:t>3 Preprocessing EDA and Feature Engineering</w:t>
            </w:r>
          </w:p>
        </w:tc>
        <w:tc>
          <w:tcPr>
            <w:tcW w:w="5976"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43F00DB6" w14:textId="77777777" w:rsidR="00E00B43" w:rsidRDefault="00000000">
            <w:r>
              <w:rPr>
                <w:rFonts w:eastAsia="Arial"/>
                <w:sz w:val="17"/>
              </w:rPr>
              <w:t>Cleaning, leakage control, relationships, selection, and PCA</w:t>
            </w:r>
          </w:p>
        </w:tc>
      </w:tr>
      <w:tr w:rsidR="00E00B43" w14:paraId="1949D788" w14:textId="77777777">
        <w:trPr>
          <w:cantSplit/>
          <w:jc w:val="center"/>
        </w:trPr>
        <w:tc>
          <w:tcPr>
            <w:tcW w:w="3672"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340CF04F" w14:textId="77777777" w:rsidR="00E00B43" w:rsidRDefault="00000000">
            <w:r>
              <w:rPr>
                <w:rFonts w:eastAsia="Arial"/>
                <w:sz w:val="17"/>
              </w:rPr>
              <w:t>4 Model Implementation and Comparison</w:t>
            </w:r>
          </w:p>
        </w:tc>
        <w:tc>
          <w:tcPr>
            <w:tcW w:w="5976"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6F6BE555" w14:textId="77777777" w:rsidR="00E00B43" w:rsidRDefault="00000000">
            <w:r>
              <w:rPr>
                <w:rFonts w:eastAsia="Arial"/>
                <w:sz w:val="17"/>
              </w:rPr>
              <w:t>Algorithms, grouped validation, locked test performance, and capacity</w:t>
            </w:r>
          </w:p>
        </w:tc>
      </w:tr>
      <w:tr w:rsidR="00E00B43" w14:paraId="6D33FCFA" w14:textId="77777777">
        <w:trPr>
          <w:cantSplit/>
          <w:jc w:val="center"/>
        </w:trPr>
        <w:tc>
          <w:tcPr>
            <w:tcW w:w="3672"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40DE343A" w14:textId="77777777" w:rsidR="00E00B43" w:rsidRDefault="00000000">
            <w:r>
              <w:rPr>
                <w:rFonts w:eastAsia="Arial"/>
                <w:sz w:val="17"/>
              </w:rPr>
              <w:t>5 Critical Thinking Ethical AI and Bias Auditing</w:t>
            </w:r>
          </w:p>
        </w:tc>
        <w:tc>
          <w:tcPr>
            <w:tcW w:w="5976"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27867B46" w14:textId="77777777" w:rsidR="00E00B43" w:rsidRDefault="00000000">
            <w:r>
              <w:rPr>
                <w:rFonts w:eastAsia="Arial"/>
                <w:sz w:val="17"/>
              </w:rPr>
              <w:t>Explanations, limitations, fairness metrics, and mitigations</w:t>
            </w:r>
          </w:p>
        </w:tc>
      </w:tr>
      <w:tr w:rsidR="00E00B43" w14:paraId="6AFF69E1" w14:textId="77777777">
        <w:trPr>
          <w:cantSplit/>
          <w:jc w:val="center"/>
        </w:trPr>
        <w:tc>
          <w:tcPr>
            <w:tcW w:w="3672"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7E7CE6C5" w14:textId="77777777" w:rsidR="00E00B43" w:rsidRDefault="00000000">
            <w:r>
              <w:rPr>
                <w:rFonts w:eastAsia="Arial"/>
                <w:sz w:val="17"/>
              </w:rPr>
              <w:t>6 Final Communication and Business Translation</w:t>
            </w:r>
          </w:p>
        </w:tc>
        <w:tc>
          <w:tcPr>
            <w:tcW w:w="5976"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18AE1F9C" w14:textId="77777777" w:rsidR="00E00B43" w:rsidRDefault="00000000">
            <w:r>
              <w:rPr>
                <w:rFonts w:eastAsia="Arial"/>
                <w:sz w:val="17"/>
              </w:rPr>
              <w:t>Workflow, ROI framework, risks, and pilot design</w:t>
            </w:r>
          </w:p>
        </w:tc>
      </w:tr>
      <w:tr w:rsidR="00E00B43" w14:paraId="3E17F209" w14:textId="77777777">
        <w:trPr>
          <w:cantSplit/>
          <w:jc w:val="center"/>
        </w:trPr>
        <w:tc>
          <w:tcPr>
            <w:tcW w:w="3672"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638DBE25" w14:textId="77777777" w:rsidR="00E00B43" w:rsidRDefault="00000000">
            <w:r>
              <w:rPr>
                <w:rFonts w:eastAsia="Arial"/>
                <w:sz w:val="17"/>
              </w:rPr>
              <w:t>7 Reproducibility and GitHub Repository</w:t>
            </w:r>
          </w:p>
        </w:tc>
        <w:tc>
          <w:tcPr>
            <w:tcW w:w="5976"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4FC47060" w14:textId="77777777" w:rsidR="00E00B43" w:rsidRDefault="00000000">
            <w:r>
              <w:rPr>
                <w:rFonts w:eastAsia="Arial"/>
                <w:sz w:val="17"/>
              </w:rPr>
              <w:t>Environment, artifacts, tests, CI, and repository structure</w:t>
            </w:r>
          </w:p>
        </w:tc>
      </w:tr>
      <w:tr w:rsidR="00E00B43" w14:paraId="56931192" w14:textId="77777777">
        <w:trPr>
          <w:cantSplit/>
          <w:jc w:val="center"/>
        </w:trPr>
        <w:tc>
          <w:tcPr>
            <w:tcW w:w="3672"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37AD10F9" w14:textId="77777777" w:rsidR="00E00B43" w:rsidRDefault="00000000">
            <w:r>
              <w:rPr>
                <w:rFonts w:eastAsia="Arial"/>
                <w:sz w:val="17"/>
              </w:rPr>
              <w:t>8 Conclusions and Next Steps</w:t>
            </w:r>
          </w:p>
        </w:tc>
        <w:tc>
          <w:tcPr>
            <w:tcW w:w="5976"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0570E1CC" w14:textId="77777777" w:rsidR="00E00B43" w:rsidRDefault="00000000">
            <w:r>
              <w:rPr>
                <w:rFonts w:eastAsia="Arial"/>
                <w:sz w:val="17"/>
              </w:rPr>
              <w:t>Decision, validation gates, and research priorities</w:t>
            </w:r>
          </w:p>
        </w:tc>
      </w:tr>
    </w:tbl>
    <w:p w14:paraId="6315EC4C" w14:textId="77777777" w:rsidR="00E00B43" w:rsidRDefault="00E00B43">
      <w:pPr>
        <w:spacing w:after="20"/>
      </w:pPr>
    </w:p>
    <w:p w14:paraId="5B170CC7" w14:textId="77777777" w:rsidR="00E00B43" w:rsidRDefault="00000000">
      <w:r>
        <w:br w:type="page"/>
      </w:r>
    </w:p>
    <w:p w14:paraId="1E522116" w14:textId="77777777" w:rsidR="00E00B43" w:rsidRDefault="00000000">
      <w:pPr>
        <w:pStyle w:val="Heading1"/>
      </w:pPr>
      <w:r>
        <w:lastRenderedPageBreak/>
        <w:t>Executive Summary</w:t>
      </w:r>
    </w:p>
    <w:p w14:paraId="4FCC06F5" w14:textId="77777777" w:rsidR="00E00B43" w:rsidRDefault="00000000">
      <w:r>
        <w:rPr>
          <w:rFonts w:eastAsia="Arial"/>
        </w:rPr>
        <w:t>DIAL-ALERT tests whether information available early in a haemodialysis session can identify sessions that later develop a systolic blood-pressure reading below 90 mmHg. The project uses HEMOBP Version 3, a public longitudinal dataset released under CC BY 4.0. Deterministic linkage and eligibility rules produced 106,758 sessions from 830 patients, with 9,067 primary events. [1,2]</w:t>
      </w:r>
    </w:p>
    <w:p w14:paraId="6133C729" w14:textId="77777777" w:rsidR="00E00B43" w:rsidRDefault="00000000">
      <w:r>
        <w:rPr>
          <w:rFonts w:eastAsia="Arial"/>
        </w:rPr>
        <w:t>Seven supervised modelling configurations were compared using patient-grouped cross-validation and patient-disjoint validation. Random forest was selected under a locked rule that prioritized grouped-CV average precision and then validation Brier score when models were within 0.01 of the best result. The untouched test set contained 21,354 sessions from 170 patients.</w:t>
      </w:r>
    </w:p>
    <w:p w14:paraId="1A6C47CA" w14:textId="77777777" w:rsidR="00E00B43" w:rsidRDefault="00000000">
      <w:r>
        <w:rPr>
          <w:rFonts w:eastAsia="Arial"/>
        </w:rPr>
        <w:t>On the locked test set, the selected model achieved average precision 0.395, ROC AUC 0.852, and Brier score 0.062. At the validation-selected threshold of 0.143, sensitivity was 66.1%, specificity 86.1%, and precision 30.6%. At a 20% alert capacity, the model captured 69.1% of observed events with 29.4% precision and 3.46-fold lift over prevalence.</w:t>
      </w:r>
    </w:p>
    <w:p w14:paraId="470AC655" w14:textId="77777777" w:rsidR="00E00B43" w:rsidRDefault="00000000">
      <w:r>
        <w:rPr>
          <w:rFonts w:eastAsia="Arial"/>
        </w:rPr>
        <w:t>The model concentrates retrospective risk but does not prove that an alert prevents an event or produces a financial return. The appropriate decision is to continue development through external validation and a governed prospective silent-mode pilot. Clinical use should remain prohibited until performance, calibration, workload, subgroup outcomes, and human factors meet prespecified acceptance criteria.</w:t>
      </w:r>
    </w:p>
    <w:tbl>
      <w:tblPr>
        <w:tblW w:w="0" w:type="auto"/>
        <w:jc w:val="center"/>
        <w:tblLayout w:type="fixed"/>
        <w:tblLook w:val="04A0" w:firstRow="1" w:lastRow="0" w:firstColumn="1" w:lastColumn="0" w:noHBand="0" w:noVBand="1"/>
      </w:tblPr>
      <w:tblGrid>
        <w:gridCol w:w="2520"/>
        <w:gridCol w:w="7128"/>
      </w:tblGrid>
      <w:tr w:rsidR="00E00B43" w14:paraId="4D914596" w14:textId="77777777">
        <w:trPr>
          <w:tblHeader/>
          <w:jc w:val="center"/>
        </w:trPr>
        <w:tc>
          <w:tcPr>
            <w:tcW w:w="2520" w:type="dxa"/>
            <w:tcBorders>
              <w:top w:val="single" w:sz="6" w:space="0" w:color="D9D9D9"/>
              <w:left w:val="single" w:sz="6" w:space="0" w:color="D9D9D9"/>
              <w:bottom w:val="single" w:sz="6" w:space="0" w:color="D9D9D9"/>
              <w:right w:val="single" w:sz="6" w:space="0" w:color="D9D9D9"/>
            </w:tcBorders>
            <w:shd w:val="clear" w:color="auto" w:fill="0B5C8E"/>
            <w:tcMar>
              <w:top w:w="90" w:type="dxa"/>
              <w:left w:w="100" w:type="dxa"/>
              <w:bottom w:w="90" w:type="dxa"/>
              <w:right w:w="100" w:type="dxa"/>
            </w:tcMar>
            <w:vAlign w:val="center"/>
          </w:tcPr>
          <w:p w14:paraId="03677C54" w14:textId="77777777" w:rsidR="00E00B43" w:rsidRDefault="00000000">
            <w:pPr>
              <w:jc w:val="center"/>
            </w:pPr>
            <w:r>
              <w:rPr>
                <w:rFonts w:eastAsia="Arial"/>
                <w:b/>
                <w:color w:val="FFFFFF"/>
                <w:sz w:val="17"/>
              </w:rPr>
              <w:t>Decision area</w:t>
            </w:r>
          </w:p>
        </w:tc>
        <w:tc>
          <w:tcPr>
            <w:tcW w:w="7128" w:type="dxa"/>
            <w:tcBorders>
              <w:top w:val="single" w:sz="6" w:space="0" w:color="D9D9D9"/>
              <w:left w:val="single" w:sz="6" w:space="0" w:color="D9D9D9"/>
              <w:bottom w:val="single" w:sz="6" w:space="0" w:color="D9D9D9"/>
              <w:right w:val="single" w:sz="6" w:space="0" w:color="D9D9D9"/>
            </w:tcBorders>
            <w:shd w:val="clear" w:color="auto" w:fill="0B5C8E"/>
            <w:tcMar>
              <w:top w:w="90" w:type="dxa"/>
              <w:left w:w="100" w:type="dxa"/>
              <w:bottom w:w="90" w:type="dxa"/>
              <w:right w:w="100" w:type="dxa"/>
            </w:tcMar>
            <w:vAlign w:val="center"/>
          </w:tcPr>
          <w:p w14:paraId="34196700" w14:textId="77777777" w:rsidR="00E00B43" w:rsidRDefault="00000000">
            <w:pPr>
              <w:jc w:val="center"/>
            </w:pPr>
            <w:r>
              <w:rPr>
                <w:rFonts w:eastAsia="Arial"/>
                <w:b/>
                <w:color w:val="FFFFFF"/>
                <w:sz w:val="17"/>
              </w:rPr>
              <w:t>Conclusion</w:t>
            </w:r>
          </w:p>
        </w:tc>
      </w:tr>
      <w:tr w:rsidR="00E00B43" w14:paraId="49FBADD4" w14:textId="77777777">
        <w:trPr>
          <w:cantSplit/>
          <w:jc w:val="center"/>
        </w:trPr>
        <w:tc>
          <w:tcPr>
            <w:tcW w:w="2520"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59277C7C" w14:textId="77777777" w:rsidR="00E00B43" w:rsidRDefault="00000000">
            <w:r>
              <w:rPr>
                <w:rFonts w:eastAsia="Arial"/>
                <w:sz w:val="17"/>
              </w:rPr>
              <w:t>Technical feasibility</w:t>
            </w:r>
          </w:p>
        </w:tc>
        <w:tc>
          <w:tcPr>
            <w:tcW w:w="7128"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5ADF7796" w14:textId="77777777" w:rsidR="00E00B43" w:rsidRDefault="00000000">
            <w:r>
              <w:rPr>
                <w:rFonts w:eastAsia="Arial"/>
                <w:sz w:val="17"/>
              </w:rPr>
              <w:t>Supported for continued validation; discrimination and risk concentration are promising</w:t>
            </w:r>
          </w:p>
        </w:tc>
      </w:tr>
      <w:tr w:rsidR="00E00B43" w14:paraId="2D73F2CA" w14:textId="77777777">
        <w:trPr>
          <w:cantSplit/>
          <w:jc w:val="center"/>
        </w:trPr>
        <w:tc>
          <w:tcPr>
            <w:tcW w:w="2520"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57486CEA" w14:textId="77777777" w:rsidR="00E00B43" w:rsidRDefault="00000000">
            <w:r>
              <w:rPr>
                <w:rFonts w:eastAsia="Arial"/>
                <w:sz w:val="17"/>
              </w:rPr>
              <w:t>Clinical effectiveness</w:t>
            </w:r>
          </w:p>
        </w:tc>
        <w:tc>
          <w:tcPr>
            <w:tcW w:w="7128"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1087311D" w14:textId="77777777" w:rsidR="00E00B43" w:rsidRDefault="00000000">
            <w:r>
              <w:rPr>
                <w:rFonts w:eastAsia="Arial"/>
                <w:sz w:val="17"/>
              </w:rPr>
              <w:t>Unknown; no alert-triggered intervention was tested</w:t>
            </w:r>
          </w:p>
        </w:tc>
      </w:tr>
      <w:tr w:rsidR="00E00B43" w14:paraId="2AFF9669" w14:textId="77777777">
        <w:trPr>
          <w:cantSplit/>
          <w:jc w:val="center"/>
        </w:trPr>
        <w:tc>
          <w:tcPr>
            <w:tcW w:w="2520"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5435ED46" w14:textId="77777777" w:rsidR="00E00B43" w:rsidRDefault="00000000">
            <w:r>
              <w:rPr>
                <w:rFonts w:eastAsia="Arial"/>
                <w:sz w:val="17"/>
              </w:rPr>
              <w:t>Operational feasibility</w:t>
            </w:r>
          </w:p>
        </w:tc>
        <w:tc>
          <w:tcPr>
            <w:tcW w:w="7128"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33DC719E" w14:textId="77777777" w:rsidR="00E00B43" w:rsidRDefault="00000000">
            <w:r>
              <w:rPr>
                <w:rFonts w:eastAsia="Arial"/>
                <w:sz w:val="17"/>
              </w:rPr>
              <w:t>Requires capacity testing because false alerts remain substantial</w:t>
            </w:r>
          </w:p>
        </w:tc>
      </w:tr>
      <w:tr w:rsidR="00E00B43" w14:paraId="42E6DEAC" w14:textId="77777777">
        <w:trPr>
          <w:cantSplit/>
          <w:jc w:val="center"/>
        </w:trPr>
        <w:tc>
          <w:tcPr>
            <w:tcW w:w="2520"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2A3A1615" w14:textId="77777777" w:rsidR="00E00B43" w:rsidRDefault="00000000">
            <w:r>
              <w:rPr>
                <w:rFonts w:eastAsia="Arial"/>
                <w:sz w:val="17"/>
              </w:rPr>
              <w:t>Fairness</w:t>
            </w:r>
          </w:p>
        </w:tc>
        <w:tc>
          <w:tcPr>
            <w:tcW w:w="7128"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116DF89A" w14:textId="77777777" w:rsidR="00E00B43" w:rsidRDefault="00000000">
            <w:r>
              <w:rPr>
                <w:rFonts w:eastAsia="Arial"/>
                <w:sz w:val="17"/>
              </w:rPr>
              <w:t>Partially auditable; recorded-sex and age disparities require monitoring, while key attributes are absent</w:t>
            </w:r>
          </w:p>
        </w:tc>
      </w:tr>
      <w:tr w:rsidR="00E00B43" w14:paraId="1844D6AF" w14:textId="77777777">
        <w:trPr>
          <w:cantSplit/>
          <w:jc w:val="center"/>
        </w:trPr>
        <w:tc>
          <w:tcPr>
            <w:tcW w:w="2520"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2DF94533" w14:textId="77777777" w:rsidR="00E00B43" w:rsidRDefault="00000000">
            <w:r>
              <w:rPr>
                <w:rFonts w:eastAsia="Arial"/>
                <w:sz w:val="17"/>
              </w:rPr>
              <w:t>Deployment readiness</w:t>
            </w:r>
          </w:p>
        </w:tc>
        <w:tc>
          <w:tcPr>
            <w:tcW w:w="7128"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4EE091C3" w14:textId="77777777" w:rsidR="00E00B43" w:rsidRDefault="00000000">
            <w:r>
              <w:rPr>
                <w:rFonts w:eastAsia="Arial"/>
                <w:sz w:val="17"/>
              </w:rPr>
              <w:t>Not ready; external and prospective validation remain mandatory</w:t>
            </w:r>
          </w:p>
        </w:tc>
      </w:tr>
    </w:tbl>
    <w:p w14:paraId="23ECC02F" w14:textId="77777777" w:rsidR="00E00B43" w:rsidRDefault="00E00B43">
      <w:pPr>
        <w:spacing w:after="20"/>
      </w:pPr>
    </w:p>
    <w:p w14:paraId="4C957EED" w14:textId="77777777" w:rsidR="00E00B43" w:rsidRDefault="00000000">
      <w:r>
        <w:br w:type="page"/>
      </w:r>
    </w:p>
    <w:p w14:paraId="1E331840" w14:textId="77777777" w:rsidR="00E00B43" w:rsidRDefault="00000000">
      <w:pPr>
        <w:pStyle w:val="Heading1"/>
      </w:pPr>
      <w:r>
        <w:lastRenderedPageBreak/>
        <w:t>1 Problem Understanding and Framing</w:t>
      </w:r>
    </w:p>
    <w:p w14:paraId="29361409" w14:textId="77777777" w:rsidR="00E00B43" w:rsidRDefault="00000000">
      <w:pPr>
        <w:pStyle w:val="Heading2"/>
      </w:pPr>
      <w:r>
        <w:t>Clinical and Operational Problem</w:t>
      </w:r>
    </w:p>
    <w:p w14:paraId="1AAB6D5F" w14:textId="77777777" w:rsidR="00E00B43" w:rsidRDefault="00000000">
      <w:r>
        <w:rPr>
          <w:rFonts w:eastAsia="Arial"/>
        </w:rPr>
        <w:t>Intradialytic hypotension can interrupt treatment and require rapid reassessment. Routine haemodialysis already generates demographic, session, machine, and blood-pressure data. DIAL-ALERT asks whether those existing data can support early risk ranking so that limited clinical attention is directed toward sessions with the greatest observed risk.</w:t>
      </w:r>
    </w:p>
    <w:p w14:paraId="3D8F8FA8" w14:textId="77777777" w:rsidR="00E00B43" w:rsidRDefault="00000000">
      <w:r>
        <w:rPr>
          <w:rFonts w:eastAsia="Arial"/>
        </w:rPr>
        <w:t>The intended user is a dialysis clinician or nurse. The proposed output is a probability and a capacity-aware alert, not a treatment order. The model should supplement observation and judgment; it should never suppress routine monitoring or direct an intervention without a clinician.</w:t>
      </w:r>
    </w:p>
    <w:p w14:paraId="4786F812" w14:textId="77777777" w:rsidR="00E00B43" w:rsidRDefault="00000000">
      <w:pPr>
        <w:pStyle w:val="Heading2"/>
      </w:pPr>
      <w:r>
        <w:t>Data Science Task</w:t>
      </w:r>
    </w:p>
    <w:tbl>
      <w:tblPr>
        <w:tblW w:w="0" w:type="auto"/>
        <w:jc w:val="center"/>
        <w:tblLayout w:type="fixed"/>
        <w:tblLook w:val="04A0" w:firstRow="1" w:lastRow="0" w:firstColumn="1" w:lastColumn="0" w:noHBand="0" w:noVBand="1"/>
      </w:tblPr>
      <w:tblGrid>
        <w:gridCol w:w="2376"/>
        <w:gridCol w:w="7272"/>
      </w:tblGrid>
      <w:tr w:rsidR="00E00B43" w14:paraId="46ABD017" w14:textId="77777777">
        <w:trPr>
          <w:tblHeader/>
          <w:jc w:val="center"/>
        </w:trPr>
        <w:tc>
          <w:tcPr>
            <w:tcW w:w="2376" w:type="dxa"/>
            <w:tcBorders>
              <w:top w:val="single" w:sz="6" w:space="0" w:color="D9D9D9"/>
              <w:left w:val="single" w:sz="6" w:space="0" w:color="D9D9D9"/>
              <w:bottom w:val="single" w:sz="6" w:space="0" w:color="D9D9D9"/>
              <w:right w:val="single" w:sz="6" w:space="0" w:color="D9D9D9"/>
            </w:tcBorders>
            <w:shd w:val="clear" w:color="auto" w:fill="0B5C8E"/>
            <w:tcMar>
              <w:top w:w="90" w:type="dxa"/>
              <w:left w:w="100" w:type="dxa"/>
              <w:bottom w:w="90" w:type="dxa"/>
              <w:right w:w="100" w:type="dxa"/>
            </w:tcMar>
            <w:vAlign w:val="center"/>
          </w:tcPr>
          <w:p w14:paraId="1FE7B4CA" w14:textId="77777777" w:rsidR="00E00B43" w:rsidRDefault="00000000">
            <w:pPr>
              <w:jc w:val="center"/>
            </w:pPr>
            <w:r>
              <w:rPr>
                <w:rFonts w:eastAsia="Arial"/>
                <w:b/>
                <w:color w:val="FFFFFF"/>
                <w:sz w:val="17"/>
              </w:rPr>
              <w:t>Element</w:t>
            </w:r>
          </w:p>
        </w:tc>
        <w:tc>
          <w:tcPr>
            <w:tcW w:w="7272" w:type="dxa"/>
            <w:tcBorders>
              <w:top w:val="single" w:sz="6" w:space="0" w:color="D9D9D9"/>
              <w:left w:val="single" w:sz="6" w:space="0" w:color="D9D9D9"/>
              <w:bottom w:val="single" w:sz="6" w:space="0" w:color="D9D9D9"/>
              <w:right w:val="single" w:sz="6" w:space="0" w:color="D9D9D9"/>
            </w:tcBorders>
            <w:shd w:val="clear" w:color="auto" w:fill="0B5C8E"/>
            <w:tcMar>
              <w:top w:w="90" w:type="dxa"/>
              <w:left w:w="100" w:type="dxa"/>
              <w:bottom w:w="90" w:type="dxa"/>
              <w:right w:w="100" w:type="dxa"/>
            </w:tcMar>
            <w:vAlign w:val="center"/>
          </w:tcPr>
          <w:p w14:paraId="170F7297" w14:textId="77777777" w:rsidR="00E00B43" w:rsidRDefault="00000000">
            <w:pPr>
              <w:jc w:val="center"/>
            </w:pPr>
            <w:r>
              <w:rPr>
                <w:rFonts w:eastAsia="Arial"/>
                <w:b/>
                <w:color w:val="FFFFFF"/>
                <w:sz w:val="17"/>
              </w:rPr>
              <w:t>Prespecified definition</w:t>
            </w:r>
          </w:p>
        </w:tc>
      </w:tr>
      <w:tr w:rsidR="00E00B43" w14:paraId="4DEF9B51" w14:textId="77777777">
        <w:trPr>
          <w:cantSplit/>
          <w:jc w:val="center"/>
        </w:trPr>
        <w:tc>
          <w:tcPr>
            <w:tcW w:w="2376"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485AD5E6" w14:textId="77777777" w:rsidR="00E00B43" w:rsidRDefault="00000000">
            <w:r>
              <w:rPr>
                <w:rFonts w:eastAsia="Arial"/>
                <w:sz w:val="17"/>
              </w:rPr>
              <w:t>Task</w:t>
            </w:r>
          </w:p>
        </w:tc>
        <w:tc>
          <w:tcPr>
            <w:tcW w:w="7272"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5FCCC6B3" w14:textId="77777777" w:rsidR="00E00B43" w:rsidRDefault="00000000">
            <w:r>
              <w:rPr>
                <w:rFonts w:eastAsia="Arial"/>
                <w:sz w:val="17"/>
              </w:rPr>
              <w:t>Supervised binary classification</w:t>
            </w:r>
          </w:p>
        </w:tc>
      </w:tr>
      <w:tr w:rsidR="00E00B43" w14:paraId="2D9C933B" w14:textId="77777777">
        <w:trPr>
          <w:cantSplit/>
          <w:jc w:val="center"/>
        </w:trPr>
        <w:tc>
          <w:tcPr>
            <w:tcW w:w="2376"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7C26478A" w14:textId="77777777" w:rsidR="00E00B43" w:rsidRDefault="00000000">
            <w:r>
              <w:rPr>
                <w:rFonts w:eastAsia="Arial"/>
                <w:sz w:val="17"/>
              </w:rPr>
              <w:t>Analysis unit</w:t>
            </w:r>
          </w:p>
        </w:tc>
        <w:tc>
          <w:tcPr>
            <w:tcW w:w="7272"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63938685" w14:textId="77777777" w:rsidR="00E00B43" w:rsidRDefault="00000000">
            <w:r>
              <w:rPr>
                <w:rFonts w:eastAsia="Arial"/>
                <w:sz w:val="17"/>
              </w:rPr>
              <w:t>One eligible patient-day haemodialysis session</w:t>
            </w:r>
          </w:p>
        </w:tc>
      </w:tr>
      <w:tr w:rsidR="00E00B43" w14:paraId="392C5921" w14:textId="77777777">
        <w:trPr>
          <w:cantSplit/>
          <w:jc w:val="center"/>
        </w:trPr>
        <w:tc>
          <w:tcPr>
            <w:tcW w:w="2376"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6AC8FC06" w14:textId="77777777" w:rsidR="00E00B43" w:rsidRDefault="00000000">
            <w:r>
              <w:rPr>
                <w:rFonts w:eastAsia="Arial"/>
                <w:sz w:val="17"/>
              </w:rPr>
              <w:t>Prediction time</w:t>
            </w:r>
          </w:p>
        </w:tc>
        <w:tc>
          <w:tcPr>
            <w:tcW w:w="7272"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3B7957DC" w14:textId="77777777" w:rsidR="00E00B43" w:rsidRDefault="00000000">
            <w:r>
              <w:rPr>
                <w:rFonts w:eastAsia="Arial"/>
                <w:sz w:val="17"/>
              </w:rPr>
              <w:t>Earliest valid active-dialysis observation during minutes 0 to 30</w:t>
            </w:r>
          </w:p>
        </w:tc>
      </w:tr>
      <w:tr w:rsidR="00E00B43" w14:paraId="11A29E5D" w14:textId="77777777">
        <w:trPr>
          <w:cantSplit/>
          <w:jc w:val="center"/>
        </w:trPr>
        <w:tc>
          <w:tcPr>
            <w:tcW w:w="2376"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75642864" w14:textId="77777777" w:rsidR="00E00B43" w:rsidRDefault="00000000">
            <w:r>
              <w:rPr>
                <w:rFonts w:eastAsia="Arial"/>
                <w:sz w:val="17"/>
              </w:rPr>
              <w:t>Target</w:t>
            </w:r>
          </w:p>
        </w:tc>
        <w:tc>
          <w:tcPr>
            <w:tcW w:w="7272"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1E6E89A1" w14:textId="77777777" w:rsidR="00E00B43" w:rsidRDefault="00000000">
            <w:r>
              <w:rPr>
                <w:rFonts w:eastAsia="Arial"/>
                <w:sz w:val="17"/>
              </w:rPr>
              <w:t>Any later systolic blood-pressure measurement below 90 mmHg</w:t>
            </w:r>
          </w:p>
        </w:tc>
      </w:tr>
      <w:tr w:rsidR="00E00B43" w14:paraId="4AE6BF06" w14:textId="77777777">
        <w:trPr>
          <w:cantSplit/>
          <w:jc w:val="center"/>
        </w:trPr>
        <w:tc>
          <w:tcPr>
            <w:tcW w:w="2376"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26A20418" w14:textId="77777777" w:rsidR="00E00B43" w:rsidRDefault="00000000">
            <w:r>
              <w:rPr>
                <w:rFonts w:eastAsia="Arial"/>
                <w:sz w:val="17"/>
              </w:rPr>
              <w:t>Predictors</w:t>
            </w:r>
          </w:p>
        </w:tc>
        <w:tc>
          <w:tcPr>
            <w:tcW w:w="7272"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3083C9F0" w14:textId="77777777" w:rsidR="00E00B43" w:rsidRDefault="00000000">
            <w:r>
              <w:rPr>
                <w:rFonts w:eastAsia="Arial"/>
                <w:sz w:val="17"/>
              </w:rPr>
              <w:t>Index-time variables and patient history derived only from earlier sessions</w:t>
            </w:r>
          </w:p>
        </w:tc>
      </w:tr>
      <w:tr w:rsidR="00E00B43" w14:paraId="6B25B37C" w14:textId="77777777">
        <w:trPr>
          <w:cantSplit/>
          <w:jc w:val="center"/>
        </w:trPr>
        <w:tc>
          <w:tcPr>
            <w:tcW w:w="2376"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113B23EC" w14:textId="77777777" w:rsidR="00E00B43" w:rsidRDefault="00000000">
            <w:r>
              <w:rPr>
                <w:rFonts w:eastAsia="Arial"/>
                <w:sz w:val="17"/>
              </w:rPr>
              <w:t>Exclusions</w:t>
            </w:r>
          </w:p>
        </w:tc>
        <w:tc>
          <w:tcPr>
            <w:tcW w:w="7272"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24DDC6F0" w14:textId="77777777" w:rsidR="00E00B43" w:rsidRDefault="00000000">
            <w:r>
              <w:rPr>
                <w:rFonts w:eastAsia="Arial"/>
                <w:sz w:val="17"/>
              </w:rPr>
              <w:t>Index SBP below 90 mmHg, inadequate later measurements, or last observed dialysis minute below 120</w:t>
            </w:r>
          </w:p>
        </w:tc>
      </w:tr>
    </w:tbl>
    <w:p w14:paraId="20639522" w14:textId="77777777" w:rsidR="00E00B43" w:rsidRDefault="00E00B43">
      <w:pPr>
        <w:spacing w:after="20"/>
      </w:pPr>
    </w:p>
    <w:p w14:paraId="275D0136" w14:textId="77777777" w:rsidR="00E00B43" w:rsidRDefault="00000000">
      <w:pPr>
        <w:pStyle w:val="Heading2"/>
      </w:pPr>
      <w:r>
        <w:t>Success Measures</w:t>
      </w:r>
    </w:p>
    <w:tbl>
      <w:tblPr>
        <w:tblW w:w="0" w:type="auto"/>
        <w:jc w:val="center"/>
        <w:tblLayout w:type="fixed"/>
        <w:tblLook w:val="04A0" w:firstRow="1" w:lastRow="0" w:firstColumn="1" w:lastColumn="0" w:noHBand="0" w:noVBand="1"/>
      </w:tblPr>
      <w:tblGrid>
        <w:gridCol w:w="1800"/>
        <w:gridCol w:w="2448"/>
        <w:gridCol w:w="5400"/>
      </w:tblGrid>
      <w:tr w:rsidR="00E00B43" w14:paraId="15DFC825" w14:textId="77777777">
        <w:trPr>
          <w:tblHeader/>
          <w:jc w:val="center"/>
        </w:trPr>
        <w:tc>
          <w:tcPr>
            <w:tcW w:w="1800" w:type="dxa"/>
            <w:tcBorders>
              <w:top w:val="single" w:sz="6" w:space="0" w:color="D9D9D9"/>
              <w:left w:val="single" w:sz="6" w:space="0" w:color="D9D9D9"/>
              <w:bottom w:val="single" w:sz="6" w:space="0" w:color="D9D9D9"/>
              <w:right w:val="single" w:sz="6" w:space="0" w:color="D9D9D9"/>
            </w:tcBorders>
            <w:shd w:val="clear" w:color="auto" w:fill="0B5C8E"/>
            <w:tcMar>
              <w:top w:w="65" w:type="dxa"/>
              <w:left w:w="100" w:type="dxa"/>
              <w:bottom w:w="65" w:type="dxa"/>
              <w:right w:w="100" w:type="dxa"/>
            </w:tcMar>
            <w:vAlign w:val="center"/>
          </w:tcPr>
          <w:p w14:paraId="36042F83" w14:textId="77777777" w:rsidR="00E00B43" w:rsidRDefault="00000000">
            <w:pPr>
              <w:jc w:val="center"/>
            </w:pPr>
            <w:r>
              <w:rPr>
                <w:rFonts w:eastAsia="Arial"/>
                <w:b/>
                <w:color w:val="FFFFFF"/>
                <w:sz w:val="16"/>
              </w:rPr>
              <w:t>Type</w:t>
            </w:r>
          </w:p>
        </w:tc>
        <w:tc>
          <w:tcPr>
            <w:tcW w:w="2448" w:type="dxa"/>
            <w:tcBorders>
              <w:top w:val="single" w:sz="6" w:space="0" w:color="D9D9D9"/>
              <w:left w:val="single" w:sz="6" w:space="0" w:color="D9D9D9"/>
              <w:bottom w:val="single" w:sz="6" w:space="0" w:color="D9D9D9"/>
              <w:right w:val="single" w:sz="6" w:space="0" w:color="D9D9D9"/>
            </w:tcBorders>
            <w:shd w:val="clear" w:color="auto" w:fill="0B5C8E"/>
            <w:tcMar>
              <w:top w:w="65" w:type="dxa"/>
              <w:left w:w="100" w:type="dxa"/>
              <w:bottom w:w="65" w:type="dxa"/>
              <w:right w:w="100" w:type="dxa"/>
            </w:tcMar>
            <w:vAlign w:val="center"/>
          </w:tcPr>
          <w:p w14:paraId="599F8596" w14:textId="77777777" w:rsidR="00E00B43" w:rsidRDefault="00000000">
            <w:pPr>
              <w:jc w:val="center"/>
            </w:pPr>
            <w:r>
              <w:rPr>
                <w:rFonts w:eastAsia="Arial"/>
                <w:b/>
                <w:color w:val="FFFFFF"/>
                <w:sz w:val="16"/>
              </w:rPr>
              <w:t>Measure</w:t>
            </w:r>
          </w:p>
        </w:tc>
        <w:tc>
          <w:tcPr>
            <w:tcW w:w="5400" w:type="dxa"/>
            <w:tcBorders>
              <w:top w:val="single" w:sz="6" w:space="0" w:color="D9D9D9"/>
              <w:left w:val="single" w:sz="6" w:space="0" w:color="D9D9D9"/>
              <w:bottom w:val="single" w:sz="6" w:space="0" w:color="D9D9D9"/>
              <w:right w:val="single" w:sz="6" w:space="0" w:color="D9D9D9"/>
            </w:tcBorders>
            <w:shd w:val="clear" w:color="auto" w:fill="0B5C8E"/>
            <w:tcMar>
              <w:top w:w="65" w:type="dxa"/>
              <w:left w:w="100" w:type="dxa"/>
              <w:bottom w:w="65" w:type="dxa"/>
              <w:right w:w="100" w:type="dxa"/>
            </w:tcMar>
            <w:vAlign w:val="center"/>
          </w:tcPr>
          <w:p w14:paraId="57D4B2E4" w14:textId="77777777" w:rsidR="00E00B43" w:rsidRDefault="00000000">
            <w:pPr>
              <w:jc w:val="center"/>
            </w:pPr>
            <w:r>
              <w:rPr>
                <w:rFonts w:eastAsia="Arial"/>
                <w:b/>
                <w:color w:val="FFFFFF"/>
                <w:sz w:val="16"/>
              </w:rPr>
              <w:t>Reason</w:t>
            </w:r>
          </w:p>
        </w:tc>
      </w:tr>
      <w:tr w:rsidR="00E00B43" w14:paraId="7BB6BEC2" w14:textId="77777777">
        <w:trPr>
          <w:cantSplit/>
          <w:jc w:val="center"/>
        </w:trPr>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65" w:type="dxa"/>
              <w:left w:w="100" w:type="dxa"/>
              <w:bottom w:w="65" w:type="dxa"/>
              <w:right w:w="100" w:type="dxa"/>
            </w:tcMar>
            <w:vAlign w:val="center"/>
          </w:tcPr>
          <w:p w14:paraId="450DFBD2" w14:textId="77777777" w:rsidR="00E00B43" w:rsidRDefault="00000000">
            <w:r>
              <w:rPr>
                <w:rFonts w:eastAsia="Arial"/>
                <w:sz w:val="16"/>
              </w:rPr>
              <w:t>Primary technical</w:t>
            </w:r>
          </w:p>
        </w:tc>
        <w:tc>
          <w:tcPr>
            <w:tcW w:w="2448" w:type="dxa"/>
            <w:tcBorders>
              <w:top w:val="single" w:sz="6" w:space="0" w:color="D9D9D9"/>
              <w:left w:val="single" w:sz="6" w:space="0" w:color="D9D9D9"/>
              <w:bottom w:val="single" w:sz="6" w:space="0" w:color="D9D9D9"/>
              <w:right w:val="single" w:sz="6" w:space="0" w:color="D9D9D9"/>
            </w:tcBorders>
            <w:shd w:val="clear" w:color="auto" w:fill="FFFFFF"/>
            <w:tcMar>
              <w:top w:w="65" w:type="dxa"/>
              <w:left w:w="100" w:type="dxa"/>
              <w:bottom w:w="65" w:type="dxa"/>
              <w:right w:w="100" w:type="dxa"/>
            </w:tcMar>
            <w:vAlign w:val="center"/>
          </w:tcPr>
          <w:p w14:paraId="448292F6" w14:textId="77777777" w:rsidR="00E00B43" w:rsidRDefault="00000000">
            <w:pPr>
              <w:jc w:val="center"/>
            </w:pPr>
            <w:r>
              <w:rPr>
                <w:rFonts w:eastAsia="Arial"/>
                <w:sz w:val="16"/>
              </w:rPr>
              <w:t>Average precision</w:t>
            </w:r>
          </w:p>
        </w:tc>
        <w:tc>
          <w:tcPr>
            <w:tcW w:w="5400" w:type="dxa"/>
            <w:tcBorders>
              <w:top w:val="single" w:sz="6" w:space="0" w:color="D9D9D9"/>
              <w:left w:val="single" w:sz="6" w:space="0" w:color="D9D9D9"/>
              <w:bottom w:val="single" w:sz="6" w:space="0" w:color="D9D9D9"/>
              <w:right w:val="single" w:sz="6" w:space="0" w:color="D9D9D9"/>
            </w:tcBorders>
            <w:shd w:val="clear" w:color="auto" w:fill="FFFFFF"/>
            <w:tcMar>
              <w:top w:w="65" w:type="dxa"/>
              <w:left w:w="100" w:type="dxa"/>
              <w:bottom w:w="65" w:type="dxa"/>
              <w:right w:w="100" w:type="dxa"/>
            </w:tcMar>
            <w:vAlign w:val="center"/>
          </w:tcPr>
          <w:p w14:paraId="604CC1E1" w14:textId="77777777" w:rsidR="00E00B43" w:rsidRDefault="00000000">
            <w:r>
              <w:rPr>
                <w:rFonts w:eastAsia="Arial"/>
                <w:sz w:val="16"/>
              </w:rPr>
              <w:t>Assesses event ranking under 8.49% prevalence and is more informative than accuracy alone</w:t>
            </w:r>
          </w:p>
        </w:tc>
      </w:tr>
      <w:tr w:rsidR="00E00B43" w14:paraId="34EC193B" w14:textId="77777777">
        <w:trPr>
          <w:cantSplit/>
          <w:jc w:val="center"/>
        </w:trPr>
        <w:tc>
          <w:tcPr>
            <w:tcW w:w="1800" w:type="dxa"/>
            <w:tcBorders>
              <w:top w:val="single" w:sz="6" w:space="0" w:color="D9D9D9"/>
              <w:left w:val="single" w:sz="6" w:space="0" w:color="D9D9D9"/>
              <w:bottom w:val="single" w:sz="6" w:space="0" w:color="D9D9D9"/>
              <w:right w:val="single" w:sz="6" w:space="0" w:color="D9D9D9"/>
            </w:tcBorders>
            <w:shd w:val="clear" w:color="auto" w:fill="EAF3F8"/>
            <w:tcMar>
              <w:top w:w="65" w:type="dxa"/>
              <w:left w:w="100" w:type="dxa"/>
              <w:bottom w:w="65" w:type="dxa"/>
              <w:right w:w="100" w:type="dxa"/>
            </w:tcMar>
            <w:vAlign w:val="center"/>
          </w:tcPr>
          <w:p w14:paraId="2CC11981" w14:textId="77777777" w:rsidR="00E00B43" w:rsidRDefault="00000000">
            <w:r>
              <w:rPr>
                <w:rFonts w:eastAsia="Arial"/>
                <w:sz w:val="16"/>
              </w:rPr>
              <w:t>Secondary technical</w:t>
            </w:r>
          </w:p>
        </w:tc>
        <w:tc>
          <w:tcPr>
            <w:tcW w:w="2448" w:type="dxa"/>
            <w:tcBorders>
              <w:top w:val="single" w:sz="6" w:space="0" w:color="D9D9D9"/>
              <w:left w:val="single" w:sz="6" w:space="0" w:color="D9D9D9"/>
              <w:bottom w:val="single" w:sz="6" w:space="0" w:color="D9D9D9"/>
              <w:right w:val="single" w:sz="6" w:space="0" w:color="D9D9D9"/>
            </w:tcBorders>
            <w:shd w:val="clear" w:color="auto" w:fill="EAF3F8"/>
            <w:tcMar>
              <w:top w:w="65" w:type="dxa"/>
              <w:left w:w="100" w:type="dxa"/>
              <w:bottom w:w="65" w:type="dxa"/>
              <w:right w:w="100" w:type="dxa"/>
            </w:tcMar>
            <w:vAlign w:val="center"/>
          </w:tcPr>
          <w:p w14:paraId="06FC3B77" w14:textId="77777777" w:rsidR="00E00B43" w:rsidRDefault="00000000">
            <w:r>
              <w:rPr>
                <w:rFonts w:eastAsia="Arial"/>
                <w:sz w:val="16"/>
              </w:rPr>
              <w:t>ROC AUC, Brier score, and log loss</w:t>
            </w:r>
          </w:p>
        </w:tc>
        <w:tc>
          <w:tcPr>
            <w:tcW w:w="5400" w:type="dxa"/>
            <w:tcBorders>
              <w:top w:val="single" w:sz="6" w:space="0" w:color="D9D9D9"/>
              <w:left w:val="single" w:sz="6" w:space="0" w:color="D9D9D9"/>
              <w:bottom w:val="single" w:sz="6" w:space="0" w:color="D9D9D9"/>
              <w:right w:val="single" w:sz="6" w:space="0" w:color="D9D9D9"/>
            </w:tcBorders>
            <w:shd w:val="clear" w:color="auto" w:fill="EAF3F8"/>
            <w:tcMar>
              <w:top w:w="65" w:type="dxa"/>
              <w:left w:w="100" w:type="dxa"/>
              <w:bottom w:w="65" w:type="dxa"/>
              <w:right w:w="100" w:type="dxa"/>
            </w:tcMar>
            <w:vAlign w:val="center"/>
          </w:tcPr>
          <w:p w14:paraId="1581F04B" w14:textId="77777777" w:rsidR="00E00B43" w:rsidRDefault="00000000">
            <w:r>
              <w:rPr>
                <w:rFonts w:eastAsia="Arial"/>
                <w:sz w:val="16"/>
              </w:rPr>
              <w:t>Assesses ranking and probability quality</w:t>
            </w:r>
          </w:p>
        </w:tc>
      </w:tr>
      <w:tr w:rsidR="00E00B43" w14:paraId="0B1153D6" w14:textId="77777777">
        <w:trPr>
          <w:cantSplit/>
          <w:jc w:val="center"/>
        </w:trPr>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65" w:type="dxa"/>
              <w:left w:w="100" w:type="dxa"/>
              <w:bottom w:w="65" w:type="dxa"/>
              <w:right w:w="100" w:type="dxa"/>
            </w:tcMar>
            <w:vAlign w:val="center"/>
          </w:tcPr>
          <w:p w14:paraId="6090B7CF" w14:textId="77777777" w:rsidR="00E00B43" w:rsidRDefault="00000000">
            <w:r>
              <w:rPr>
                <w:rFonts w:eastAsia="Arial"/>
                <w:sz w:val="16"/>
              </w:rPr>
              <w:t>Threshold performance</w:t>
            </w:r>
          </w:p>
        </w:tc>
        <w:tc>
          <w:tcPr>
            <w:tcW w:w="2448" w:type="dxa"/>
            <w:tcBorders>
              <w:top w:val="single" w:sz="6" w:space="0" w:color="D9D9D9"/>
              <w:left w:val="single" w:sz="6" w:space="0" w:color="D9D9D9"/>
              <w:bottom w:val="single" w:sz="6" w:space="0" w:color="D9D9D9"/>
              <w:right w:val="single" w:sz="6" w:space="0" w:color="D9D9D9"/>
            </w:tcBorders>
            <w:shd w:val="clear" w:color="auto" w:fill="FFFFFF"/>
            <w:tcMar>
              <w:top w:w="65" w:type="dxa"/>
              <w:left w:w="100" w:type="dxa"/>
              <w:bottom w:w="65" w:type="dxa"/>
              <w:right w:w="100" w:type="dxa"/>
            </w:tcMar>
            <w:vAlign w:val="center"/>
          </w:tcPr>
          <w:p w14:paraId="2AE87610" w14:textId="77777777" w:rsidR="00E00B43" w:rsidRDefault="00000000">
            <w:r>
              <w:rPr>
                <w:rFonts w:eastAsia="Arial"/>
                <w:sz w:val="16"/>
              </w:rPr>
              <w:t>Sensitivity, specificity, precision, and F1</w:t>
            </w:r>
          </w:p>
        </w:tc>
        <w:tc>
          <w:tcPr>
            <w:tcW w:w="5400" w:type="dxa"/>
            <w:tcBorders>
              <w:top w:val="single" w:sz="6" w:space="0" w:color="D9D9D9"/>
              <w:left w:val="single" w:sz="6" w:space="0" w:color="D9D9D9"/>
              <w:bottom w:val="single" w:sz="6" w:space="0" w:color="D9D9D9"/>
              <w:right w:val="single" w:sz="6" w:space="0" w:color="D9D9D9"/>
            </w:tcBorders>
            <w:shd w:val="clear" w:color="auto" w:fill="FFFFFF"/>
            <w:tcMar>
              <w:top w:w="65" w:type="dxa"/>
              <w:left w:w="100" w:type="dxa"/>
              <w:bottom w:w="65" w:type="dxa"/>
              <w:right w:w="100" w:type="dxa"/>
            </w:tcMar>
            <w:vAlign w:val="center"/>
          </w:tcPr>
          <w:p w14:paraId="330612F0" w14:textId="77777777" w:rsidR="00E00B43" w:rsidRDefault="00000000">
            <w:r>
              <w:rPr>
                <w:rFonts w:eastAsia="Arial"/>
                <w:sz w:val="16"/>
              </w:rPr>
              <w:t>Quantifies misses and false alerts at the operating threshold</w:t>
            </w:r>
          </w:p>
        </w:tc>
      </w:tr>
      <w:tr w:rsidR="00E00B43" w14:paraId="352EACFD" w14:textId="77777777">
        <w:trPr>
          <w:cantSplit/>
          <w:jc w:val="center"/>
        </w:trPr>
        <w:tc>
          <w:tcPr>
            <w:tcW w:w="1800" w:type="dxa"/>
            <w:tcBorders>
              <w:top w:val="single" w:sz="6" w:space="0" w:color="D9D9D9"/>
              <w:left w:val="single" w:sz="6" w:space="0" w:color="D9D9D9"/>
              <w:bottom w:val="single" w:sz="6" w:space="0" w:color="D9D9D9"/>
              <w:right w:val="single" w:sz="6" w:space="0" w:color="D9D9D9"/>
            </w:tcBorders>
            <w:shd w:val="clear" w:color="auto" w:fill="EAF3F8"/>
            <w:tcMar>
              <w:top w:w="65" w:type="dxa"/>
              <w:left w:w="100" w:type="dxa"/>
              <w:bottom w:w="65" w:type="dxa"/>
              <w:right w:w="100" w:type="dxa"/>
            </w:tcMar>
            <w:vAlign w:val="center"/>
          </w:tcPr>
          <w:p w14:paraId="32C9F9A2" w14:textId="77777777" w:rsidR="00E00B43" w:rsidRDefault="00000000">
            <w:r>
              <w:rPr>
                <w:rFonts w:eastAsia="Arial"/>
                <w:sz w:val="16"/>
              </w:rPr>
              <w:t>Operations and business</w:t>
            </w:r>
          </w:p>
        </w:tc>
        <w:tc>
          <w:tcPr>
            <w:tcW w:w="2448" w:type="dxa"/>
            <w:tcBorders>
              <w:top w:val="single" w:sz="6" w:space="0" w:color="D9D9D9"/>
              <w:left w:val="single" w:sz="6" w:space="0" w:color="D9D9D9"/>
              <w:bottom w:val="single" w:sz="6" w:space="0" w:color="D9D9D9"/>
              <w:right w:val="single" w:sz="6" w:space="0" w:color="D9D9D9"/>
            </w:tcBorders>
            <w:shd w:val="clear" w:color="auto" w:fill="EAF3F8"/>
            <w:tcMar>
              <w:top w:w="65" w:type="dxa"/>
              <w:left w:w="100" w:type="dxa"/>
              <w:bottom w:w="65" w:type="dxa"/>
              <w:right w:w="100" w:type="dxa"/>
            </w:tcMar>
            <w:vAlign w:val="center"/>
          </w:tcPr>
          <w:p w14:paraId="097A7ADF" w14:textId="77777777" w:rsidR="00E00B43" w:rsidRDefault="00000000">
            <w:r>
              <w:rPr>
                <w:rFonts w:eastAsia="Arial"/>
                <w:sz w:val="16"/>
              </w:rPr>
              <w:t>Capacity metrics, review time, intervention rate, outcomes, and net cost</w:t>
            </w:r>
          </w:p>
        </w:tc>
        <w:tc>
          <w:tcPr>
            <w:tcW w:w="5400" w:type="dxa"/>
            <w:tcBorders>
              <w:top w:val="single" w:sz="6" w:space="0" w:color="D9D9D9"/>
              <w:left w:val="single" w:sz="6" w:space="0" w:color="D9D9D9"/>
              <w:bottom w:val="single" w:sz="6" w:space="0" w:color="D9D9D9"/>
              <w:right w:val="single" w:sz="6" w:space="0" w:color="D9D9D9"/>
            </w:tcBorders>
            <w:shd w:val="clear" w:color="auto" w:fill="EAF3F8"/>
            <w:tcMar>
              <w:top w:w="65" w:type="dxa"/>
              <w:left w:w="100" w:type="dxa"/>
              <w:bottom w:w="65" w:type="dxa"/>
              <w:right w:w="100" w:type="dxa"/>
            </w:tcMar>
            <w:vAlign w:val="center"/>
          </w:tcPr>
          <w:p w14:paraId="3AC86746" w14:textId="77777777" w:rsidR="00E00B43" w:rsidRDefault="00000000">
            <w:r>
              <w:rPr>
                <w:rFonts w:eastAsia="Arial"/>
                <w:sz w:val="16"/>
              </w:rPr>
              <w:t>Measures workload and future real-world value without assuming savings</w:t>
            </w:r>
          </w:p>
        </w:tc>
      </w:tr>
      <w:tr w:rsidR="00E00B43" w14:paraId="645BBF3C" w14:textId="77777777">
        <w:trPr>
          <w:cantSplit/>
          <w:jc w:val="center"/>
        </w:trPr>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65" w:type="dxa"/>
              <w:left w:w="100" w:type="dxa"/>
              <w:bottom w:w="65" w:type="dxa"/>
              <w:right w:w="100" w:type="dxa"/>
            </w:tcMar>
            <w:vAlign w:val="center"/>
          </w:tcPr>
          <w:p w14:paraId="5AAF4777" w14:textId="77777777" w:rsidR="00E00B43" w:rsidRDefault="00000000">
            <w:r>
              <w:rPr>
                <w:rFonts w:eastAsia="Arial"/>
                <w:sz w:val="16"/>
              </w:rPr>
              <w:t>Equity</w:t>
            </w:r>
          </w:p>
        </w:tc>
        <w:tc>
          <w:tcPr>
            <w:tcW w:w="2448" w:type="dxa"/>
            <w:tcBorders>
              <w:top w:val="single" w:sz="6" w:space="0" w:color="D9D9D9"/>
              <w:left w:val="single" w:sz="6" w:space="0" w:color="D9D9D9"/>
              <w:bottom w:val="single" w:sz="6" w:space="0" w:color="D9D9D9"/>
              <w:right w:val="single" w:sz="6" w:space="0" w:color="D9D9D9"/>
            </w:tcBorders>
            <w:shd w:val="clear" w:color="auto" w:fill="FFFFFF"/>
            <w:tcMar>
              <w:top w:w="65" w:type="dxa"/>
              <w:left w:w="100" w:type="dxa"/>
              <w:bottom w:w="65" w:type="dxa"/>
              <w:right w:w="100" w:type="dxa"/>
            </w:tcMar>
            <w:vAlign w:val="center"/>
          </w:tcPr>
          <w:p w14:paraId="11558D1B" w14:textId="77777777" w:rsidR="00E00B43" w:rsidRDefault="00000000">
            <w:r>
              <w:rPr>
                <w:rFonts w:eastAsia="Arial"/>
                <w:sz w:val="16"/>
              </w:rPr>
              <w:t>Selection, error, calibration, and disparity measures</w:t>
            </w:r>
          </w:p>
        </w:tc>
        <w:tc>
          <w:tcPr>
            <w:tcW w:w="5400" w:type="dxa"/>
            <w:tcBorders>
              <w:top w:val="single" w:sz="6" w:space="0" w:color="D9D9D9"/>
              <w:left w:val="single" w:sz="6" w:space="0" w:color="D9D9D9"/>
              <w:bottom w:val="single" w:sz="6" w:space="0" w:color="D9D9D9"/>
              <w:right w:val="single" w:sz="6" w:space="0" w:color="D9D9D9"/>
            </w:tcBorders>
            <w:shd w:val="clear" w:color="auto" w:fill="FFFFFF"/>
            <w:tcMar>
              <w:top w:w="65" w:type="dxa"/>
              <w:left w:w="100" w:type="dxa"/>
              <w:bottom w:w="65" w:type="dxa"/>
              <w:right w:w="100" w:type="dxa"/>
            </w:tcMar>
            <w:vAlign w:val="center"/>
          </w:tcPr>
          <w:p w14:paraId="1A12F55D" w14:textId="77777777" w:rsidR="00E00B43" w:rsidRDefault="00000000">
            <w:r>
              <w:rPr>
                <w:rFonts w:eastAsia="Arial"/>
                <w:sz w:val="16"/>
              </w:rPr>
              <w:t>Checks whether overall performance hides subgroup differences</w:t>
            </w:r>
          </w:p>
        </w:tc>
      </w:tr>
    </w:tbl>
    <w:p w14:paraId="2EC44175" w14:textId="77777777" w:rsidR="00E00B43" w:rsidRDefault="00E00B43">
      <w:pPr>
        <w:spacing w:after="20"/>
      </w:pPr>
    </w:p>
    <w:p w14:paraId="3A0FE51E" w14:textId="77777777" w:rsidR="00E00B43" w:rsidRDefault="00000000">
      <w:r>
        <w:br w:type="page"/>
      </w:r>
    </w:p>
    <w:p w14:paraId="0ED591E8" w14:textId="77777777" w:rsidR="00E00B43" w:rsidRDefault="00000000">
      <w:pPr>
        <w:pStyle w:val="Heading1"/>
      </w:pPr>
      <w:r>
        <w:lastRenderedPageBreak/>
        <w:t>2 Data Collection and Understanding</w:t>
      </w:r>
    </w:p>
    <w:p w14:paraId="324B3B3D" w14:textId="77777777" w:rsidR="00E00B43" w:rsidRDefault="00000000">
      <w:pPr>
        <w:pStyle w:val="Heading2"/>
      </w:pPr>
      <w:r>
        <w:t>Provenance and License</w:t>
      </w:r>
    </w:p>
    <w:p w14:paraId="0B2C515B" w14:textId="77777777" w:rsidR="00E00B43" w:rsidRDefault="00000000">
      <w:r>
        <w:rPr>
          <w:rFonts w:eastAsia="Arial"/>
        </w:rPr>
        <w:t>HEMOBP Version 3 was selected because it links patient characteristics, session summaries, and time-stamped dialysis-machine measurements. The public release is versioned on Figshare, has stable checksums, and is licensed under CC BY 4.0. The peer-reviewed data descriptor documents the collection context. [1,2]</w:t>
      </w:r>
    </w:p>
    <w:tbl>
      <w:tblPr>
        <w:tblW w:w="0" w:type="auto"/>
        <w:jc w:val="center"/>
        <w:tblLayout w:type="fixed"/>
        <w:tblLook w:val="04A0" w:firstRow="1" w:lastRow="0" w:firstColumn="1" w:lastColumn="0" w:noHBand="0" w:noVBand="1"/>
      </w:tblPr>
      <w:tblGrid>
        <w:gridCol w:w="1512"/>
        <w:gridCol w:w="2304"/>
        <w:gridCol w:w="1440"/>
        <w:gridCol w:w="4392"/>
      </w:tblGrid>
      <w:tr w:rsidR="00E00B43" w14:paraId="10226D88" w14:textId="77777777">
        <w:trPr>
          <w:tblHeader/>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0B5C8E"/>
            <w:tcMar>
              <w:top w:w="90" w:type="dxa"/>
              <w:left w:w="100" w:type="dxa"/>
              <w:bottom w:w="90" w:type="dxa"/>
              <w:right w:w="100" w:type="dxa"/>
            </w:tcMar>
            <w:vAlign w:val="center"/>
          </w:tcPr>
          <w:p w14:paraId="3E39BA65" w14:textId="77777777" w:rsidR="00E00B43" w:rsidRDefault="00000000">
            <w:pPr>
              <w:jc w:val="center"/>
            </w:pPr>
            <w:r>
              <w:rPr>
                <w:rFonts w:eastAsia="Arial"/>
                <w:b/>
                <w:color w:val="FFFFFF"/>
                <w:sz w:val="16"/>
              </w:rPr>
              <w:t>Source file</w:t>
            </w:r>
          </w:p>
        </w:tc>
        <w:tc>
          <w:tcPr>
            <w:tcW w:w="2304" w:type="dxa"/>
            <w:tcBorders>
              <w:top w:val="single" w:sz="6" w:space="0" w:color="D9D9D9"/>
              <w:left w:val="single" w:sz="6" w:space="0" w:color="D9D9D9"/>
              <w:bottom w:val="single" w:sz="6" w:space="0" w:color="D9D9D9"/>
              <w:right w:val="single" w:sz="6" w:space="0" w:color="D9D9D9"/>
            </w:tcBorders>
            <w:shd w:val="clear" w:color="auto" w:fill="0B5C8E"/>
            <w:tcMar>
              <w:top w:w="90" w:type="dxa"/>
              <w:left w:w="100" w:type="dxa"/>
              <w:bottom w:w="90" w:type="dxa"/>
              <w:right w:w="100" w:type="dxa"/>
            </w:tcMar>
            <w:vAlign w:val="center"/>
          </w:tcPr>
          <w:p w14:paraId="47B08038" w14:textId="77777777" w:rsidR="00E00B43" w:rsidRDefault="00000000">
            <w:pPr>
              <w:jc w:val="center"/>
            </w:pPr>
            <w:r>
              <w:rPr>
                <w:rFonts w:eastAsia="Arial"/>
                <w:b/>
                <w:color w:val="FFFFFF"/>
                <w:sz w:val="16"/>
              </w:rPr>
              <w:t>Grain</w:t>
            </w:r>
          </w:p>
        </w:tc>
        <w:tc>
          <w:tcPr>
            <w:tcW w:w="1440" w:type="dxa"/>
            <w:tcBorders>
              <w:top w:val="single" w:sz="6" w:space="0" w:color="D9D9D9"/>
              <w:left w:val="single" w:sz="6" w:space="0" w:color="D9D9D9"/>
              <w:bottom w:val="single" w:sz="6" w:space="0" w:color="D9D9D9"/>
              <w:right w:val="single" w:sz="6" w:space="0" w:color="D9D9D9"/>
            </w:tcBorders>
            <w:shd w:val="clear" w:color="auto" w:fill="0B5C8E"/>
            <w:tcMar>
              <w:top w:w="90" w:type="dxa"/>
              <w:left w:w="100" w:type="dxa"/>
              <w:bottom w:w="90" w:type="dxa"/>
              <w:right w:w="100" w:type="dxa"/>
            </w:tcMar>
            <w:vAlign w:val="center"/>
          </w:tcPr>
          <w:p w14:paraId="5933C1C7" w14:textId="77777777" w:rsidR="00E00B43" w:rsidRDefault="00000000">
            <w:pPr>
              <w:jc w:val="center"/>
            </w:pPr>
            <w:r>
              <w:rPr>
                <w:rFonts w:eastAsia="Arial"/>
                <w:b/>
                <w:color w:val="FFFFFF"/>
                <w:sz w:val="16"/>
              </w:rPr>
              <w:t>Rows</w:t>
            </w:r>
          </w:p>
        </w:tc>
        <w:tc>
          <w:tcPr>
            <w:tcW w:w="4392" w:type="dxa"/>
            <w:tcBorders>
              <w:top w:val="single" w:sz="6" w:space="0" w:color="D9D9D9"/>
              <w:left w:val="single" w:sz="6" w:space="0" w:color="D9D9D9"/>
              <w:bottom w:val="single" w:sz="6" w:space="0" w:color="D9D9D9"/>
              <w:right w:val="single" w:sz="6" w:space="0" w:color="D9D9D9"/>
            </w:tcBorders>
            <w:shd w:val="clear" w:color="auto" w:fill="0B5C8E"/>
            <w:tcMar>
              <w:top w:w="90" w:type="dxa"/>
              <w:left w:w="100" w:type="dxa"/>
              <w:bottom w:w="90" w:type="dxa"/>
              <w:right w:w="100" w:type="dxa"/>
            </w:tcMar>
            <w:vAlign w:val="center"/>
          </w:tcPr>
          <w:p w14:paraId="319DDC8A" w14:textId="77777777" w:rsidR="00E00B43" w:rsidRDefault="00000000">
            <w:pPr>
              <w:jc w:val="center"/>
            </w:pPr>
            <w:r>
              <w:rPr>
                <w:rFonts w:eastAsia="Arial"/>
                <w:b/>
                <w:color w:val="FFFFFF"/>
                <w:sz w:val="16"/>
              </w:rPr>
              <w:t>Verified MD5</w:t>
            </w:r>
          </w:p>
        </w:tc>
      </w:tr>
      <w:tr w:rsidR="00E00B43" w14:paraId="544FB492" w14:textId="77777777">
        <w:trPr>
          <w:cantSplit/>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13D0B441" w14:textId="77777777" w:rsidR="00E00B43" w:rsidRDefault="00000000">
            <w:r>
              <w:rPr>
                <w:rFonts w:eastAsia="Arial"/>
                <w:sz w:val="16"/>
              </w:rPr>
              <w:t>idp.csv</w:t>
            </w:r>
          </w:p>
        </w:tc>
        <w:tc>
          <w:tcPr>
            <w:tcW w:w="2304"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489FDDC8" w14:textId="77777777" w:rsidR="00E00B43" w:rsidRDefault="00000000">
            <w:pPr>
              <w:jc w:val="center"/>
            </w:pPr>
            <w:r>
              <w:rPr>
                <w:rFonts w:eastAsia="Arial"/>
                <w:sz w:val="16"/>
              </w:rPr>
              <w:t>Patient</w:t>
            </w:r>
          </w:p>
        </w:tc>
        <w:tc>
          <w:tcPr>
            <w:tcW w:w="1440"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380C1607" w14:textId="77777777" w:rsidR="00E00B43" w:rsidRDefault="00000000">
            <w:pPr>
              <w:jc w:val="center"/>
            </w:pPr>
            <w:r>
              <w:rPr>
                <w:rFonts w:eastAsia="Arial"/>
                <w:sz w:val="16"/>
              </w:rPr>
              <w:t>1,072</w:t>
            </w:r>
          </w:p>
        </w:tc>
        <w:tc>
          <w:tcPr>
            <w:tcW w:w="4392"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42B5D240" w14:textId="77777777" w:rsidR="00E00B43" w:rsidRDefault="00000000">
            <w:r>
              <w:rPr>
                <w:rFonts w:eastAsia="Arial"/>
                <w:sz w:val="16"/>
              </w:rPr>
              <w:t>31d269f59bf4acc719f392ad9164d08a</w:t>
            </w:r>
          </w:p>
        </w:tc>
      </w:tr>
      <w:tr w:rsidR="00E00B43" w14:paraId="5E753062" w14:textId="77777777">
        <w:trPr>
          <w:cantSplit/>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10CF1E48" w14:textId="77777777" w:rsidR="00E00B43" w:rsidRDefault="00000000">
            <w:r>
              <w:rPr>
                <w:rFonts w:eastAsia="Arial"/>
                <w:sz w:val="16"/>
              </w:rPr>
              <w:t>d1.csv</w:t>
            </w:r>
          </w:p>
        </w:tc>
        <w:tc>
          <w:tcPr>
            <w:tcW w:w="2304"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74C97071" w14:textId="77777777" w:rsidR="00E00B43" w:rsidRDefault="00000000">
            <w:pPr>
              <w:jc w:val="center"/>
            </w:pPr>
            <w:r>
              <w:rPr>
                <w:rFonts w:eastAsia="Arial"/>
                <w:sz w:val="16"/>
              </w:rPr>
              <w:t>Dialysis session</w:t>
            </w:r>
          </w:p>
        </w:tc>
        <w:tc>
          <w:tcPr>
            <w:tcW w:w="1440"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6EEB9968" w14:textId="77777777" w:rsidR="00E00B43" w:rsidRDefault="00000000">
            <w:pPr>
              <w:jc w:val="center"/>
            </w:pPr>
            <w:r>
              <w:rPr>
                <w:rFonts w:eastAsia="Arial"/>
                <w:sz w:val="16"/>
              </w:rPr>
              <w:t>165,986</w:t>
            </w:r>
          </w:p>
        </w:tc>
        <w:tc>
          <w:tcPr>
            <w:tcW w:w="4392"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5F691C72" w14:textId="77777777" w:rsidR="00E00B43" w:rsidRDefault="00000000">
            <w:r>
              <w:rPr>
                <w:rFonts w:eastAsia="Arial"/>
                <w:sz w:val="16"/>
              </w:rPr>
              <w:t>7db3b48bae2c73e3ecd731dbcd452233</w:t>
            </w:r>
          </w:p>
        </w:tc>
      </w:tr>
      <w:tr w:rsidR="00E00B43" w14:paraId="179D9FCD" w14:textId="77777777">
        <w:trPr>
          <w:cantSplit/>
          <w:jc w:val="center"/>
        </w:trPr>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50CDF9D1" w14:textId="77777777" w:rsidR="00E00B43" w:rsidRDefault="00000000">
            <w:r>
              <w:rPr>
                <w:rFonts w:eastAsia="Arial"/>
                <w:sz w:val="16"/>
              </w:rPr>
              <w:t>vip.csv</w:t>
            </w:r>
          </w:p>
        </w:tc>
        <w:tc>
          <w:tcPr>
            <w:tcW w:w="2304"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08F59514" w14:textId="77777777" w:rsidR="00E00B43" w:rsidRDefault="00000000">
            <w:r>
              <w:rPr>
                <w:rFonts w:eastAsia="Arial"/>
                <w:sz w:val="16"/>
              </w:rPr>
              <w:t>Time-stamped monitor record</w:t>
            </w:r>
          </w:p>
        </w:tc>
        <w:tc>
          <w:tcPr>
            <w:tcW w:w="1440"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5064E50D" w14:textId="77777777" w:rsidR="00E00B43" w:rsidRDefault="00000000">
            <w:pPr>
              <w:jc w:val="center"/>
            </w:pPr>
            <w:r>
              <w:rPr>
                <w:rFonts w:eastAsia="Arial"/>
                <w:sz w:val="16"/>
              </w:rPr>
              <w:t>4,366,298</w:t>
            </w:r>
          </w:p>
        </w:tc>
        <w:tc>
          <w:tcPr>
            <w:tcW w:w="4392"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49B3F3D2" w14:textId="77777777" w:rsidR="00E00B43" w:rsidRDefault="00000000">
            <w:r>
              <w:rPr>
                <w:rFonts w:eastAsia="Arial"/>
                <w:sz w:val="16"/>
              </w:rPr>
              <w:t>ff1589610cf7aa3b3e01ba979b6bdc44</w:t>
            </w:r>
          </w:p>
        </w:tc>
      </w:tr>
    </w:tbl>
    <w:p w14:paraId="15082D27" w14:textId="77777777" w:rsidR="00E00B43" w:rsidRDefault="00E00B43">
      <w:pPr>
        <w:spacing w:after="20"/>
      </w:pPr>
    </w:p>
    <w:p w14:paraId="75B8F50D" w14:textId="77777777" w:rsidR="00E00B43" w:rsidRDefault="00000000">
      <w:pPr>
        <w:keepNext/>
        <w:spacing w:before="80" w:after="60"/>
        <w:jc w:val="center"/>
      </w:pPr>
      <w:r>
        <w:rPr>
          <w:noProof/>
        </w:rPr>
        <w:drawing>
          <wp:inline distT="0" distB="0" distL="0" distR="0" wp14:anchorId="3611FB13" wp14:editId="6AD9E483">
            <wp:extent cx="5989320" cy="1986581"/>
            <wp:effectExtent l="0" t="0" r="0" b="0"/>
            <wp:docPr id="1" name="Picture 1" descr="Source tables linked by patient identifier and date into a session-level analytic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architecture.png"/>
                    <pic:cNvPicPr/>
                  </pic:nvPicPr>
                  <pic:blipFill>
                    <a:blip r:embed="rId8"/>
                    <a:stretch>
                      <a:fillRect/>
                    </a:stretch>
                  </pic:blipFill>
                  <pic:spPr>
                    <a:xfrm>
                      <a:off x="0" y="0"/>
                      <a:ext cx="5989320" cy="1986581"/>
                    </a:xfrm>
                    <a:prstGeom prst="rect">
                      <a:avLst/>
                    </a:prstGeom>
                  </pic:spPr>
                </pic:pic>
              </a:graphicData>
            </a:graphic>
          </wp:inline>
        </w:drawing>
      </w:r>
    </w:p>
    <w:p w14:paraId="539DE34A" w14:textId="77777777" w:rsidR="00E00B43" w:rsidRDefault="00000000">
      <w:pPr>
        <w:pStyle w:val="Caption"/>
        <w:keepLines/>
        <w:spacing w:after="140"/>
        <w:jc w:val="center"/>
      </w:pPr>
      <w:r>
        <w:rPr>
          <w:rFonts w:eastAsia="Arial"/>
        </w:rPr>
        <w:t>Figure 1. HEMOBP source tables and the DIAL-ALERT session-level analytic table.</w:t>
      </w:r>
    </w:p>
    <w:p w14:paraId="6B25798D" w14:textId="77777777" w:rsidR="00E00B43" w:rsidRDefault="00000000">
      <w:pPr>
        <w:pStyle w:val="Heading2"/>
      </w:pPr>
      <w:r>
        <w:t>Cohort Construction</w:t>
      </w:r>
    </w:p>
    <w:p w14:paraId="17B5171A" w14:textId="77777777" w:rsidR="00E00B43" w:rsidRDefault="00000000">
      <w:r>
        <w:rPr>
          <w:rFonts w:eastAsia="Arial"/>
        </w:rPr>
        <w:t>The source tables are joined on patient identifier and normalized session date. The earliest valid active-dialysis reading in the first 30 minutes defines the index record. Later readings define outcomes. Sessions require at least two later measurement minutes and an observation at or beyond dialysis minute 120 (not 120 minutes after prediction).</w:t>
      </w:r>
    </w:p>
    <w:tbl>
      <w:tblPr>
        <w:tblW w:w="0" w:type="auto"/>
        <w:jc w:val="center"/>
        <w:tblLayout w:type="fixed"/>
        <w:tblLook w:val="04A0" w:firstRow="1" w:lastRow="0" w:firstColumn="1" w:lastColumn="0" w:noHBand="0" w:noVBand="1"/>
      </w:tblPr>
      <w:tblGrid>
        <w:gridCol w:w="6912"/>
        <w:gridCol w:w="2736"/>
      </w:tblGrid>
      <w:tr w:rsidR="00E00B43" w14:paraId="7BC1A58D" w14:textId="77777777">
        <w:trPr>
          <w:tblHeader/>
          <w:jc w:val="center"/>
        </w:trPr>
        <w:tc>
          <w:tcPr>
            <w:tcW w:w="6912" w:type="dxa"/>
            <w:tcBorders>
              <w:top w:val="single" w:sz="6" w:space="0" w:color="D9D9D9"/>
              <w:left w:val="single" w:sz="6" w:space="0" w:color="D9D9D9"/>
              <w:bottom w:val="single" w:sz="6" w:space="0" w:color="D9D9D9"/>
              <w:right w:val="single" w:sz="6" w:space="0" w:color="D9D9D9"/>
            </w:tcBorders>
            <w:shd w:val="clear" w:color="auto" w:fill="0B5C8E"/>
            <w:tcMar>
              <w:top w:w="55" w:type="dxa"/>
              <w:left w:w="100" w:type="dxa"/>
              <w:bottom w:w="55" w:type="dxa"/>
              <w:right w:w="100" w:type="dxa"/>
            </w:tcMar>
            <w:vAlign w:val="center"/>
          </w:tcPr>
          <w:p w14:paraId="1944041C" w14:textId="77777777" w:rsidR="00E00B43" w:rsidRDefault="00000000">
            <w:pPr>
              <w:jc w:val="center"/>
            </w:pPr>
            <w:r>
              <w:rPr>
                <w:rFonts w:eastAsia="Arial"/>
                <w:b/>
                <w:color w:val="FFFFFF"/>
                <w:sz w:val="17"/>
              </w:rPr>
              <w:t>Cohort stage</w:t>
            </w:r>
          </w:p>
        </w:tc>
        <w:tc>
          <w:tcPr>
            <w:tcW w:w="2736" w:type="dxa"/>
            <w:tcBorders>
              <w:top w:val="single" w:sz="6" w:space="0" w:color="D9D9D9"/>
              <w:left w:val="single" w:sz="6" w:space="0" w:color="D9D9D9"/>
              <w:bottom w:val="single" w:sz="6" w:space="0" w:color="D9D9D9"/>
              <w:right w:val="single" w:sz="6" w:space="0" w:color="D9D9D9"/>
            </w:tcBorders>
            <w:shd w:val="clear" w:color="auto" w:fill="0B5C8E"/>
            <w:tcMar>
              <w:top w:w="55" w:type="dxa"/>
              <w:left w:w="100" w:type="dxa"/>
              <w:bottom w:w="55" w:type="dxa"/>
              <w:right w:w="100" w:type="dxa"/>
            </w:tcMar>
            <w:vAlign w:val="center"/>
          </w:tcPr>
          <w:p w14:paraId="615E5A78" w14:textId="77777777" w:rsidR="00E00B43" w:rsidRDefault="00000000">
            <w:pPr>
              <w:jc w:val="center"/>
            </w:pPr>
            <w:r>
              <w:rPr>
                <w:rFonts w:eastAsia="Arial"/>
                <w:b/>
                <w:color w:val="FFFFFF"/>
                <w:sz w:val="17"/>
              </w:rPr>
              <w:t>Count</w:t>
            </w:r>
          </w:p>
        </w:tc>
      </w:tr>
      <w:tr w:rsidR="00E00B43" w14:paraId="75168A47" w14:textId="77777777">
        <w:trPr>
          <w:cantSplit/>
          <w:jc w:val="center"/>
        </w:trPr>
        <w:tc>
          <w:tcPr>
            <w:tcW w:w="6912" w:type="dxa"/>
            <w:tcBorders>
              <w:top w:val="single" w:sz="6" w:space="0" w:color="D9D9D9"/>
              <w:left w:val="single" w:sz="6" w:space="0" w:color="D9D9D9"/>
              <w:bottom w:val="single" w:sz="6" w:space="0" w:color="D9D9D9"/>
              <w:right w:val="single" w:sz="6" w:space="0" w:color="D9D9D9"/>
            </w:tcBorders>
            <w:shd w:val="clear" w:color="auto" w:fill="FFFFFF"/>
            <w:tcMar>
              <w:top w:w="55" w:type="dxa"/>
              <w:left w:w="100" w:type="dxa"/>
              <w:bottom w:w="55" w:type="dxa"/>
              <w:right w:w="100" w:type="dxa"/>
            </w:tcMar>
            <w:vAlign w:val="center"/>
          </w:tcPr>
          <w:p w14:paraId="4EF90B02" w14:textId="77777777" w:rsidR="00E00B43" w:rsidRDefault="00000000">
            <w:r>
              <w:rPr>
                <w:rFonts w:eastAsia="Arial"/>
                <w:sz w:val="17"/>
              </w:rPr>
              <w:t>Valid unique patient days</w:t>
            </w:r>
          </w:p>
        </w:tc>
        <w:tc>
          <w:tcPr>
            <w:tcW w:w="2736" w:type="dxa"/>
            <w:tcBorders>
              <w:top w:val="single" w:sz="6" w:space="0" w:color="D9D9D9"/>
              <w:left w:val="single" w:sz="6" w:space="0" w:color="D9D9D9"/>
              <w:bottom w:val="single" w:sz="6" w:space="0" w:color="D9D9D9"/>
              <w:right w:val="single" w:sz="6" w:space="0" w:color="D9D9D9"/>
            </w:tcBorders>
            <w:shd w:val="clear" w:color="auto" w:fill="FFFFFF"/>
            <w:tcMar>
              <w:top w:w="55" w:type="dxa"/>
              <w:left w:w="100" w:type="dxa"/>
              <w:bottom w:w="55" w:type="dxa"/>
              <w:right w:w="100" w:type="dxa"/>
            </w:tcMar>
            <w:vAlign w:val="center"/>
          </w:tcPr>
          <w:p w14:paraId="43281E13" w14:textId="77777777" w:rsidR="00E00B43" w:rsidRDefault="00000000">
            <w:pPr>
              <w:jc w:val="center"/>
            </w:pPr>
            <w:r>
              <w:rPr>
                <w:rFonts w:eastAsia="Arial"/>
                <w:sz w:val="17"/>
              </w:rPr>
              <w:t>165,849</w:t>
            </w:r>
          </w:p>
        </w:tc>
      </w:tr>
      <w:tr w:rsidR="00E00B43" w14:paraId="17071020" w14:textId="77777777">
        <w:trPr>
          <w:cantSplit/>
          <w:jc w:val="center"/>
        </w:trPr>
        <w:tc>
          <w:tcPr>
            <w:tcW w:w="6912" w:type="dxa"/>
            <w:tcBorders>
              <w:top w:val="single" w:sz="6" w:space="0" w:color="D9D9D9"/>
              <w:left w:val="single" w:sz="6" w:space="0" w:color="D9D9D9"/>
              <w:bottom w:val="single" w:sz="6" w:space="0" w:color="D9D9D9"/>
              <w:right w:val="single" w:sz="6" w:space="0" w:color="D9D9D9"/>
            </w:tcBorders>
            <w:shd w:val="clear" w:color="auto" w:fill="EAF3F8"/>
            <w:tcMar>
              <w:top w:w="55" w:type="dxa"/>
              <w:left w:w="100" w:type="dxa"/>
              <w:bottom w:w="55" w:type="dxa"/>
              <w:right w:w="100" w:type="dxa"/>
            </w:tcMar>
            <w:vAlign w:val="center"/>
          </w:tcPr>
          <w:p w14:paraId="7CC3BBA7" w14:textId="77777777" w:rsidR="00E00B43" w:rsidRDefault="00000000">
            <w:r>
              <w:rPr>
                <w:rFonts w:eastAsia="Arial"/>
                <w:sz w:val="17"/>
              </w:rPr>
              <w:t>Patient days linked to monitoring</w:t>
            </w:r>
          </w:p>
        </w:tc>
        <w:tc>
          <w:tcPr>
            <w:tcW w:w="2736" w:type="dxa"/>
            <w:tcBorders>
              <w:top w:val="single" w:sz="6" w:space="0" w:color="D9D9D9"/>
              <w:left w:val="single" w:sz="6" w:space="0" w:color="D9D9D9"/>
              <w:bottom w:val="single" w:sz="6" w:space="0" w:color="D9D9D9"/>
              <w:right w:val="single" w:sz="6" w:space="0" w:color="D9D9D9"/>
            </w:tcBorders>
            <w:shd w:val="clear" w:color="auto" w:fill="EAF3F8"/>
            <w:tcMar>
              <w:top w:w="55" w:type="dxa"/>
              <w:left w:w="100" w:type="dxa"/>
              <w:bottom w:w="55" w:type="dxa"/>
              <w:right w:w="100" w:type="dxa"/>
            </w:tcMar>
            <w:vAlign w:val="center"/>
          </w:tcPr>
          <w:p w14:paraId="7C02EB3A" w14:textId="77777777" w:rsidR="00E00B43" w:rsidRDefault="00000000">
            <w:pPr>
              <w:jc w:val="center"/>
            </w:pPr>
            <w:r>
              <w:rPr>
                <w:rFonts w:eastAsia="Arial"/>
                <w:sz w:val="17"/>
              </w:rPr>
              <w:t>110,790</w:t>
            </w:r>
          </w:p>
        </w:tc>
      </w:tr>
      <w:tr w:rsidR="00E00B43" w14:paraId="67670673" w14:textId="77777777">
        <w:trPr>
          <w:cantSplit/>
          <w:jc w:val="center"/>
        </w:trPr>
        <w:tc>
          <w:tcPr>
            <w:tcW w:w="6912" w:type="dxa"/>
            <w:tcBorders>
              <w:top w:val="single" w:sz="6" w:space="0" w:color="D9D9D9"/>
              <w:left w:val="single" w:sz="6" w:space="0" w:color="D9D9D9"/>
              <w:bottom w:val="single" w:sz="6" w:space="0" w:color="D9D9D9"/>
              <w:right w:val="single" w:sz="6" w:space="0" w:color="D9D9D9"/>
            </w:tcBorders>
            <w:shd w:val="clear" w:color="auto" w:fill="FFFFFF"/>
            <w:tcMar>
              <w:top w:w="55" w:type="dxa"/>
              <w:left w:w="100" w:type="dxa"/>
              <w:bottom w:w="55" w:type="dxa"/>
              <w:right w:w="100" w:type="dxa"/>
            </w:tcMar>
            <w:vAlign w:val="center"/>
          </w:tcPr>
          <w:p w14:paraId="05025F70" w14:textId="77777777" w:rsidR="00E00B43" w:rsidRDefault="00000000">
            <w:r>
              <w:rPr>
                <w:rFonts w:eastAsia="Arial"/>
                <w:sz w:val="17"/>
              </w:rPr>
              <w:t>Sessions with an index record</w:t>
            </w:r>
          </w:p>
        </w:tc>
        <w:tc>
          <w:tcPr>
            <w:tcW w:w="2736" w:type="dxa"/>
            <w:tcBorders>
              <w:top w:val="single" w:sz="6" w:space="0" w:color="D9D9D9"/>
              <w:left w:val="single" w:sz="6" w:space="0" w:color="D9D9D9"/>
              <w:bottom w:val="single" w:sz="6" w:space="0" w:color="D9D9D9"/>
              <w:right w:val="single" w:sz="6" w:space="0" w:color="D9D9D9"/>
            </w:tcBorders>
            <w:shd w:val="clear" w:color="auto" w:fill="FFFFFF"/>
            <w:tcMar>
              <w:top w:w="55" w:type="dxa"/>
              <w:left w:w="100" w:type="dxa"/>
              <w:bottom w:w="55" w:type="dxa"/>
              <w:right w:w="100" w:type="dxa"/>
            </w:tcMar>
            <w:vAlign w:val="center"/>
          </w:tcPr>
          <w:p w14:paraId="47140DED" w14:textId="77777777" w:rsidR="00E00B43" w:rsidRDefault="00000000">
            <w:pPr>
              <w:jc w:val="center"/>
            </w:pPr>
            <w:r>
              <w:rPr>
                <w:rFonts w:eastAsia="Arial"/>
                <w:sz w:val="17"/>
              </w:rPr>
              <w:t>108,781</w:t>
            </w:r>
          </w:p>
        </w:tc>
      </w:tr>
      <w:tr w:rsidR="00E00B43" w14:paraId="375741C1" w14:textId="77777777">
        <w:trPr>
          <w:cantSplit/>
          <w:jc w:val="center"/>
        </w:trPr>
        <w:tc>
          <w:tcPr>
            <w:tcW w:w="6912" w:type="dxa"/>
            <w:tcBorders>
              <w:top w:val="single" w:sz="6" w:space="0" w:color="D9D9D9"/>
              <w:left w:val="single" w:sz="6" w:space="0" w:color="D9D9D9"/>
              <w:bottom w:val="single" w:sz="6" w:space="0" w:color="D9D9D9"/>
              <w:right w:val="single" w:sz="6" w:space="0" w:color="D9D9D9"/>
            </w:tcBorders>
            <w:shd w:val="clear" w:color="auto" w:fill="EAF3F8"/>
            <w:tcMar>
              <w:top w:w="55" w:type="dxa"/>
              <w:left w:w="100" w:type="dxa"/>
              <w:bottom w:w="55" w:type="dxa"/>
              <w:right w:w="100" w:type="dxa"/>
            </w:tcMar>
            <w:vAlign w:val="center"/>
          </w:tcPr>
          <w:p w14:paraId="766F634F" w14:textId="77777777" w:rsidR="00E00B43" w:rsidRDefault="00000000">
            <w:r>
              <w:rPr>
                <w:rFonts w:eastAsia="Arial"/>
                <w:sz w:val="17"/>
              </w:rPr>
              <w:t>Final eligible sessions</w:t>
            </w:r>
          </w:p>
        </w:tc>
        <w:tc>
          <w:tcPr>
            <w:tcW w:w="2736" w:type="dxa"/>
            <w:tcBorders>
              <w:top w:val="single" w:sz="6" w:space="0" w:color="D9D9D9"/>
              <w:left w:val="single" w:sz="6" w:space="0" w:color="D9D9D9"/>
              <w:bottom w:val="single" w:sz="6" w:space="0" w:color="D9D9D9"/>
              <w:right w:val="single" w:sz="6" w:space="0" w:color="D9D9D9"/>
            </w:tcBorders>
            <w:shd w:val="clear" w:color="auto" w:fill="EAF3F8"/>
            <w:tcMar>
              <w:top w:w="55" w:type="dxa"/>
              <w:left w:w="100" w:type="dxa"/>
              <w:bottom w:w="55" w:type="dxa"/>
              <w:right w:w="100" w:type="dxa"/>
            </w:tcMar>
            <w:vAlign w:val="center"/>
          </w:tcPr>
          <w:p w14:paraId="2A41BF5E" w14:textId="77777777" w:rsidR="00E00B43" w:rsidRDefault="00000000">
            <w:pPr>
              <w:jc w:val="center"/>
            </w:pPr>
            <w:r>
              <w:rPr>
                <w:rFonts w:eastAsia="Arial"/>
                <w:sz w:val="17"/>
              </w:rPr>
              <w:t>106,758</w:t>
            </w:r>
          </w:p>
        </w:tc>
      </w:tr>
      <w:tr w:rsidR="00E00B43" w14:paraId="6FAE73E7" w14:textId="77777777">
        <w:trPr>
          <w:cantSplit/>
          <w:jc w:val="center"/>
        </w:trPr>
        <w:tc>
          <w:tcPr>
            <w:tcW w:w="6912" w:type="dxa"/>
            <w:tcBorders>
              <w:top w:val="single" w:sz="6" w:space="0" w:color="D9D9D9"/>
              <w:left w:val="single" w:sz="6" w:space="0" w:color="D9D9D9"/>
              <w:bottom w:val="single" w:sz="6" w:space="0" w:color="D9D9D9"/>
              <w:right w:val="single" w:sz="6" w:space="0" w:color="D9D9D9"/>
            </w:tcBorders>
            <w:shd w:val="clear" w:color="auto" w:fill="FFFFFF"/>
            <w:tcMar>
              <w:top w:w="55" w:type="dxa"/>
              <w:left w:w="100" w:type="dxa"/>
              <w:bottom w:w="55" w:type="dxa"/>
              <w:right w:w="100" w:type="dxa"/>
            </w:tcMar>
            <w:vAlign w:val="center"/>
          </w:tcPr>
          <w:p w14:paraId="29826354" w14:textId="77777777" w:rsidR="00E00B43" w:rsidRDefault="00000000">
            <w:r>
              <w:rPr>
                <w:rFonts w:eastAsia="Arial"/>
                <w:sz w:val="17"/>
              </w:rPr>
              <w:t>Unique analytic patients</w:t>
            </w:r>
          </w:p>
        </w:tc>
        <w:tc>
          <w:tcPr>
            <w:tcW w:w="2736" w:type="dxa"/>
            <w:tcBorders>
              <w:top w:val="single" w:sz="6" w:space="0" w:color="D9D9D9"/>
              <w:left w:val="single" w:sz="6" w:space="0" w:color="D9D9D9"/>
              <w:bottom w:val="single" w:sz="6" w:space="0" w:color="D9D9D9"/>
              <w:right w:val="single" w:sz="6" w:space="0" w:color="D9D9D9"/>
            </w:tcBorders>
            <w:shd w:val="clear" w:color="auto" w:fill="FFFFFF"/>
            <w:tcMar>
              <w:top w:w="55" w:type="dxa"/>
              <w:left w:w="100" w:type="dxa"/>
              <w:bottom w:w="55" w:type="dxa"/>
              <w:right w:w="100" w:type="dxa"/>
            </w:tcMar>
            <w:vAlign w:val="center"/>
          </w:tcPr>
          <w:p w14:paraId="0A295BAB" w14:textId="77777777" w:rsidR="00E00B43" w:rsidRDefault="00000000">
            <w:pPr>
              <w:jc w:val="center"/>
            </w:pPr>
            <w:r>
              <w:rPr>
                <w:rFonts w:eastAsia="Arial"/>
                <w:sz w:val="17"/>
              </w:rPr>
              <w:t>830</w:t>
            </w:r>
          </w:p>
        </w:tc>
      </w:tr>
      <w:tr w:rsidR="00E00B43" w14:paraId="2B96EF4D" w14:textId="77777777">
        <w:trPr>
          <w:cantSplit/>
          <w:jc w:val="center"/>
        </w:trPr>
        <w:tc>
          <w:tcPr>
            <w:tcW w:w="6912" w:type="dxa"/>
            <w:tcBorders>
              <w:top w:val="single" w:sz="6" w:space="0" w:color="D9D9D9"/>
              <w:left w:val="single" w:sz="6" w:space="0" w:color="D9D9D9"/>
              <w:bottom w:val="single" w:sz="6" w:space="0" w:color="D9D9D9"/>
              <w:right w:val="single" w:sz="6" w:space="0" w:color="D9D9D9"/>
            </w:tcBorders>
            <w:shd w:val="clear" w:color="auto" w:fill="EAF3F8"/>
            <w:tcMar>
              <w:top w:w="55" w:type="dxa"/>
              <w:left w:w="100" w:type="dxa"/>
              <w:bottom w:w="55" w:type="dxa"/>
              <w:right w:w="100" w:type="dxa"/>
            </w:tcMar>
            <w:vAlign w:val="center"/>
          </w:tcPr>
          <w:p w14:paraId="12A15B62" w14:textId="77777777" w:rsidR="00E00B43" w:rsidRDefault="00000000">
            <w:r>
              <w:rPr>
                <w:rFonts w:eastAsia="Arial"/>
                <w:sz w:val="17"/>
              </w:rPr>
              <w:t>Primary events</w:t>
            </w:r>
          </w:p>
        </w:tc>
        <w:tc>
          <w:tcPr>
            <w:tcW w:w="2736" w:type="dxa"/>
            <w:tcBorders>
              <w:top w:val="single" w:sz="6" w:space="0" w:color="D9D9D9"/>
              <w:left w:val="single" w:sz="6" w:space="0" w:color="D9D9D9"/>
              <w:bottom w:val="single" w:sz="6" w:space="0" w:color="D9D9D9"/>
              <w:right w:val="single" w:sz="6" w:space="0" w:color="D9D9D9"/>
            </w:tcBorders>
            <w:shd w:val="clear" w:color="auto" w:fill="EAF3F8"/>
            <w:tcMar>
              <w:top w:w="55" w:type="dxa"/>
              <w:left w:w="100" w:type="dxa"/>
              <w:bottom w:w="55" w:type="dxa"/>
              <w:right w:w="100" w:type="dxa"/>
            </w:tcMar>
            <w:vAlign w:val="center"/>
          </w:tcPr>
          <w:p w14:paraId="533B78D2" w14:textId="77777777" w:rsidR="00E00B43" w:rsidRDefault="00000000">
            <w:pPr>
              <w:jc w:val="center"/>
            </w:pPr>
            <w:r>
              <w:rPr>
                <w:rFonts w:eastAsia="Arial"/>
                <w:sz w:val="17"/>
              </w:rPr>
              <w:t>9,067</w:t>
            </w:r>
          </w:p>
        </w:tc>
      </w:tr>
    </w:tbl>
    <w:p w14:paraId="58671CBC" w14:textId="77777777" w:rsidR="00E00B43" w:rsidRDefault="00E00B43">
      <w:pPr>
        <w:spacing w:after="20"/>
      </w:pPr>
    </w:p>
    <w:p w14:paraId="06C6483E" w14:textId="77777777" w:rsidR="00E00B43" w:rsidRDefault="00000000">
      <w:pPr>
        <w:keepNext/>
        <w:spacing w:before="80" w:after="60"/>
        <w:jc w:val="center"/>
      </w:pPr>
      <w:r>
        <w:rPr>
          <w:noProof/>
        </w:rPr>
        <w:lastRenderedPageBreak/>
        <w:drawing>
          <wp:inline distT="0" distB="0" distL="0" distR="0" wp14:anchorId="44206E60" wp14:editId="2B372B39">
            <wp:extent cx="5715000" cy="3224259"/>
            <wp:effectExtent l="0" t="0" r="0" b="0"/>
            <wp:docPr id="2" name="Picture 2" descr="Horizontal bars showing counts at each cohort construc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hort_flow.png"/>
                    <pic:cNvPicPr/>
                  </pic:nvPicPr>
                  <pic:blipFill>
                    <a:blip r:embed="rId9"/>
                    <a:stretch>
                      <a:fillRect/>
                    </a:stretch>
                  </pic:blipFill>
                  <pic:spPr>
                    <a:xfrm>
                      <a:off x="0" y="0"/>
                      <a:ext cx="5715000" cy="3224259"/>
                    </a:xfrm>
                    <a:prstGeom prst="rect">
                      <a:avLst/>
                    </a:prstGeom>
                  </pic:spPr>
                </pic:pic>
              </a:graphicData>
            </a:graphic>
          </wp:inline>
        </w:drawing>
      </w:r>
    </w:p>
    <w:p w14:paraId="7FCE343B" w14:textId="77777777" w:rsidR="00E00B43" w:rsidRDefault="00000000">
      <w:pPr>
        <w:pStyle w:val="Caption"/>
        <w:keepLines/>
        <w:spacing w:after="140"/>
        <w:jc w:val="center"/>
      </w:pPr>
      <w:r>
        <w:rPr>
          <w:rFonts w:eastAsia="Arial"/>
        </w:rPr>
        <w:t>Figure 2. Deterministic cohort flow from valid session dates to the final eligible cohort.</w:t>
      </w:r>
    </w:p>
    <w:p w14:paraId="24B6C71A" w14:textId="77777777" w:rsidR="00E00B43" w:rsidRDefault="00000000">
      <w:pPr>
        <w:pStyle w:val="Heading2"/>
      </w:pPr>
      <w:r>
        <w:t>Data Quality and Dictionary</w:t>
      </w:r>
    </w:p>
    <w:p w14:paraId="1300FA1A" w14:textId="77777777" w:rsidR="00E00B43" w:rsidRDefault="00000000">
      <w:r>
        <w:rPr>
          <w:rFonts w:eastAsia="Arial"/>
        </w:rPr>
        <w:t>Dates, linkage, duplicate patient-days, exact monitor duplicates, documented physiologic bounds, and follow-up completeness were audited before modelling. Missing values occur mainly in dialysis vintage and first-session history features. Plausible extremes were retained; removing unusual but possible dialysis sessions could hide clinically important risk.</w:t>
      </w:r>
    </w:p>
    <w:p w14:paraId="27878021" w14:textId="77777777" w:rsidR="00E00B43" w:rsidRDefault="00000000">
      <w:r>
        <w:rPr>
          <w:rFonts w:eastAsia="Arial"/>
        </w:rPr>
        <w:t>The complete machine-readable dictionary in docs/data_dictionary.csv and docs/data_dictionary.md records each variable's source, data type, unit, allowed values, missingness, modelling role, and prediction-time availability. A separate feature-engineering dictionary documents the derived variables.</w:t>
      </w:r>
    </w:p>
    <w:p w14:paraId="144B2CCF" w14:textId="77777777" w:rsidR="00E00B43" w:rsidRDefault="00000000">
      <w:pPr>
        <w:pStyle w:val="ListBullet"/>
        <w:spacing w:after="60"/>
      </w:pPr>
      <w:r>
        <w:rPr>
          <w:rFonts w:eastAsia="Arial"/>
        </w:rPr>
        <w:t>The publication reports 1,075 outpatients, while the released patient file contains 1,072 unique rows; the analysis uses the actual public files and records this discrepancy.</w:t>
      </w:r>
    </w:p>
    <w:p w14:paraId="2302CB3B" w14:textId="77777777" w:rsidR="00E00B43" w:rsidRDefault="00000000">
      <w:pPr>
        <w:pStyle w:val="ListBullet"/>
        <w:spacing w:after="60"/>
      </w:pPr>
      <w:r>
        <w:rPr>
          <w:rFonts w:eastAsia="Arial"/>
        </w:rPr>
        <w:t>Symptoms, interventions, medication timing, laboratory data, and broad comorbidity data are unavailable.</w:t>
      </w:r>
    </w:p>
    <w:p w14:paraId="3D3B5B98" w14:textId="77777777" w:rsidR="00E00B43" w:rsidRDefault="00000000">
      <w:pPr>
        <w:pStyle w:val="ListBullet"/>
        <w:spacing w:after="60"/>
      </w:pPr>
      <w:r>
        <w:rPr>
          <w:rFonts w:eastAsia="Arial"/>
        </w:rPr>
        <w:t>The target is therefore described as BP-defined IDH rather than a complete symptomatic clinical diagnosis.</w:t>
      </w:r>
    </w:p>
    <w:p w14:paraId="2935A2CC" w14:textId="77777777" w:rsidR="00E00B43" w:rsidRDefault="00000000">
      <w:r>
        <w:br w:type="page"/>
      </w:r>
    </w:p>
    <w:p w14:paraId="09B33804" w14:textId="77777777" w:rsidR="00E00B43" w:rsidRDefault="00000000">
      <w:pPr>
        <w:pStyle w:val="Heading1"/>
      </w:pPr>
      <w:r>
        <w:lastRenderedPageBreak/>
        <w:t>3 Preprocessing EDA and Feature Engineering</w:t>
      </w:r>
    </w:p>
    <w:p w14:paraId="3B78A501" w14:textId="77777777" w:rsidR="00E00B43" w:rsidRDefault="00000000">
      <w:pPr>
        <w:pStyle w:val="Heading2"/>
      </w:pPr>
      <w:r>
        <w:t>Cleaning and Leakage Control</w:t>
      </w:r>
    </w:p>
    <w:tbl>
      <w:tblPr>
        <w:tblW w:w="0" w:type="auto"/>
        <w:jc w:val="center"/>
        <w:tblLayout w:type="fixed"/>
        <w:tblLook w:val="04A0" w:firstRow="1" w:lastRow="0" w:firstColumn="1" w:lastColumn="0" w:noHBand="0" w:noVBand="1"/>
      </w:tblPr>
      <w:tblGrid>
        <w:gridCol w:w="2088"/>
        <w:gridCol w:w="7560"/>
      </w:tblGrid>
      <w:tr w:rsidR="00E00B43" w14:paraId="5BD8B473" w14:textId="77777777">
        <w:trPr>
          <w:tblHeader/>
          <w:jc w:val="center"/>
        </w:trPr>
        <w:tc>
          <w:tcPr>
            <w:tcW w:w="2088" w:type="dxa"/>
            <w:tcBorders>
              <w:top w:val="single" w:sz="6" w:space="0" w:color="D9D9D9"/>
              <w:left w:val="single" w:sz="6" w:space="0" w:color="D9D9D9"/>
              <w:bottom w:val="single" w:sz="6" w:space="0" w:color="D9D9D9"/>
              <w:right w:val="single" w:sz="6" w:space="0" w:color="D9D9D9"/>
            </w:tcBorders>
            <w:shd w:val="clear" w:color="auto" w:fill="0B5C8E"/>
            <w:tcMar>
              <w:top w:w="90" w:type="dxa"/>
              <w:left w:w="100" w:type="dxa"/>
              <w:bottom w:w="90" w:type="dxa"/>
              <w:right w:w="100" w:type="dxa"/>
            </w:tcMar>
            <w:vAlign w:val="center"/>
          </w:tcPr>
          <w:p w14:paraId="1E5EF001" w14:textId="77777777" w:rsidR="00E00B43" w:rsidRDefault="00000000">
            <w:pPr>
              <w:jc w:val="center"/>
            </w:pPr>
            <w:r>
              <w:rPr>
                <w:rFonts w:eastAsia="Arial"/>
                <w:b/>
                <w:color w:val="FFFFFF"/>
                <w:sz w:val="17"/>
              </w:rPr>
              <w:t>Step</w:t>
            </w:r>
          </w:p>
        </w:tc>
        <w:tc>
          <w:tcPr>
            <w:tcW w:w="7560" w:type="dxa"/>
            <w:tcBorders>
              <w:top w:val="single" w:sz="6" w:space="0" w:color="D9D9D9"/>
              <w:left w:val="single" w:sz="6" w:space="0" w:color="D9D9D9"/>
              <w:bottom w:val="single" w:sz="6" w:space="0" w:color="D9D9D9"/>
              <w:right w:val="single" w:sz="6" w:space="0" w:color="D9D9D9"/>
            </w:tcBorders>
            <w:shd w:val="clear" w:color="auto" w:fill="0B5C8E"/>
            <w:tcMar>
              <w:top w:w="90" w:type="dxa"/>
              <w:left w:w="100" w:type="dxa"/>
              <w:bottom w:w="90" w:type="dxa"/>
              <w:right w:w="100" w:type="dxa"/>
            </w:tcMar>
            <w:vAlign w:val="center"/>
          </w:tcPr>
          <w:p w14:paraId="3B2A2BA2" w14:textId="77777777" w:rsidR="00E00B43" w:rsidRDefault="00000000">
            <w:pPr>
              <w:jc w:val="center"/>
            </w:pPr>
            <w:r>
              <w:rPr>
                <w:rFonts w:eastAsia="Arial"/>
                <w:b/>
                <w:color w:val="FFFFFF"/>
                <w:sz w:val="17"/>
              </w:rPr>
              <w:t>Implementation and justification</w:t>
            </w:r>
          </w:p>
        </w:tc>
      </w:tr>
      <w:tr w:rsidR="00E00B43" w14:paraId="535743A4" w14:textId="77777777">
        <w:trPr>
          <w:cantSplit/>
          <w:jc w:val="center"/>
        </w:trPr>
        <w:tc>
          <w:tcPr>
            <w:tcW w:w="2088"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238F8E60" w14:textId="77777777" w:rsidR="00E00B43" w:rsidRDefault="00000000">
            <w:r>
              <w:rPr>
                <w:rFonts w:eastAsia="Arial"/>
                <w:sz w:val="17"/>
              </w:rPr>
              <w:t>Missing values</w:t>
            </w:r>
          </w:p>
        </w:tc>
        <w:tc>
          <w:tcPr>
            <w:tcW w:w="7560"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5555B03F" w14:textId="77777777" w:rsidR="00E00B43" w:rsidRDefault="00000000">
            <w:r>
              <w:rPr>
                <w:rFonts w:eastAsia="Arial"/>
                <w:sz w:val="17"/>
              </w:rPr>
              <w:t>Median imputation for numeric variables and mode imputation for categorical variables inside each training fold</w:t>
            </w:r>
          </w:p>
        </w:tc>
      </w:tr>
      <w:tr w:rsidR="00E00B43" w14:paraId="4489F95D" w14:textId="77777777">
        <w:trPr>
          <w:cantSplit/>
          <w:jc w:val="center"/>
        </w:trPr>
        <w:tc>
          <w:tcPr>
            <w:tcW w:w="2088"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55CAD3DA" w14:textId="77777777" w:rsidR="00E00B43" w:rsidRDefault="00000000">
            <w:r>
              <w:rPr>
                <w:rFonts w:eastAsia="Arial"/>
                <w:sz w:val="17"/>
              </w:rPr>
              <w:t>Duplicates</w:t>
            </w:r>
          </w:p>
        </w:tc>
        <w:tc>
          <w:tcPr>
            <w:tcW w:w="7560"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612E33E6" w14:textId="77777777" w:rsidR="00E00B43" w:rsidRDefault="00000000">
            <w:r>
              <w:rPr>
                <w:rFonts w:eastAsia="Arial"/>
                <w:sz w:val="17"/>
              </w:rPr>
              <w:t>Stable removal of duplicate patient-days and exact duplicate monitor records</w:t>
            </w:r>
          </w:p>
        </w:tc>
      </w:tr>
      <w:tr w:rsidR="00E00B43" w14:paraId="205636DE" w14:textId="77777777">
        <w:trPr>
          <w:cantSplit/>
          <w:jc w:val="center"/>
        </w:trPr>
        <w:tc>
          <w:tcPr>
            <w:tcW w:w="2088"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7C303375" w14:textId="77777777" w:rsidR="00E00B43" w:rsidRDefault="00000000">
            <w:r>
              <w:rPr>
                <w:rFonts w:eastAsia="Arial"/>
                <w:sz w:val="17"/>
              </w:rPr>
              <w:t>Outliers</w:t>
            </w:r>
          </w:p>
        </w:tc>
        <w:tc>
          <w:tcPr>
            <w:tcW w:w="7560"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60330511" w14:textId="77777777" w:rsidR="00E00B43" w:rsidRDefault="00000000">
            <w:r>
              <w:rPr>
                <w:rFonts w:eastAsia="Arial"/>
                <w:sz w:val="17"/>
              </w:rPr>
              <w:t>Documented monitoring bounds remove impossible values; plausible extremes remain for audit and sensitivity analysis</w:t>
            </w:r>
          </w:p>
        </w:tc>
      </w:tr>
      <w:tr w:rsidR="00E00B43" w14:paraId="548ACE46" w14:textId="77777777">
        <w:trPr>
          <w:cantSplit/>
          <w:jc w:val="center"/>
        </w:trPr>
        <w:tc>
          <w:tcPr>
            <w:tcW w:w="2088"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2683A663" w14:textId="77777777" w:rsidR="00E00B43" w:rsidRDefault="00000000">
            <w:r>
              <w:rPr>
                <w:rFonts w:eastAsia="Arial"/>
                <w:sz w:val="17"/>
              </w:rPr>
              <w:t>Encoding</w:t>
            </w:r>
          </w:p>
        </w:tc>
        <w:tc>
          <w:tcPr>
            <w:tcW w:w="7560"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2392DF3C" w14:textId="77777777" w:rsidR="00E00B43" w:rsidRDefault="00000000">
            <w:r>
              <w:rPr>
                <w:rFonts w:eastAsia="Arial"/>
                <w:sz w:val="17"/>
              </w:rPr>
              <w:t>One-hot encoding for recorded sex and diabetes within the fitted pipeline</w:t>
            </w:r>
          </w:p>
        </w:tc>
      </w:tr>
      <w:tr w:rsidR="00E00B43" w14:paraId="2FDC2754" w14:textId="77777777">
        <w:trPr>
          <w:cantSplit/>
          <w:jc w:val="center"/>
        </w:trPr>
        <w:tc>
          <w:tcPr>
            <w:tcW w:w="2088"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6C182639" w14:textId="77777777" w:rsidR="00E00B43" w:rsidRDefault="00000000">
            <w:r>
              <w:rPr>
                <w:rFonts w:eastAsia="Arial"/>
                <w:sz w:val="17"/>
              </w:rPr>
              <w:t>Scaling</w:t>
            </w:r>
          </w:p>
        </w:tc>
        <w:tc>
          <w:tcPr>
            <w:tcW w:w="7560"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757F4DE4" w14:textId="77777777" w:rsidR="00E00B43" w:rsidRDefault="00000000">
            <w:r>
              <w:rPr>
                <w:rFonts w:eastAsia="Arial"/>
                <w:sz w:val="17"/>
              </w:rPr>
              <w:t>Standardization for linear, L1, and PCA candidates; tree models retain original numeric scale</w:t>
            </w:r>
          </w:p>
        </w:tc>
      </w:tr>
      <w:tr w:rsidR="00E00B43" w14:paraId="539C6291" w14:textId="77777777">
        <w:trPr>
          <w:cantSplit/>
          <w:jc w:val="center"/>
        </w:trPr>
        <w:tc>
          <w:tcPr>
            <w:tcW w:w="2088"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2BDD92F7" w14:textId="77777777" w:rsidR="00E00B43" w:rsidRDefault="00000000">
            <w:r>
              <w:rPr>
                <w:rFonts w:eastAsia="Arial"/>
                <w:sz w:val="17"/>
              </w:rPr>
              <w:t>Temporal boundary</w:t>
            </w:r>
          </w:p>
        </w:tc>
        <w:tc>
          <w:tcPr>
            <w:tcW w:w="7560"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6E5BD236" w14:textId="77777777" w:rsidR="00E00B43" w:rsidRDefault="00000000">
            <w:r>
              <w:rPr>
                <w:rFonts w:eastAsia="Arial"/>
                <w:sz w:val="17"/>
              </w:rPr>
              <w:t>Only index-time variables and shifted prior-session history enter the feature matrix</w:t>
            </w:r>
          </w:p>
        </w:tc>
      </w:tr>
      <w:tr w:rsidR="00E00B43" w14:paraId="2BFEC09F" w14:textId="77777777">
        <w:trPr>
          <w:cantSplit/>
          <w:jc w:val="center"/>
        </w:trPr>
        <w:tc>
          <w:tcPr>
            <w:tcW w:w="2088"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317E45BE" w14:textId="77777777" w:rsidR="00E00B43" w:rsidRDefault="00000000">
            <w:r>
              <w:rPr>
                <w:rFonts w:eastAsia="Arial"/>
                <w:sz w:val="17"/>
              </w:rPr>
              <w:t>Split boundary</w:t>
            </w:r>
          </w:p>
        </w:tc>
        <w:tc>
          <w:tcPr>
            <w:tcW w:w="7560"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54466788" w14:textId="77777777" w:rsidR="00E00B43" w:rsidRDefault="00000000">
            <w:r>
              <w:rPr>
                <w:rFonts w:eastAsia="Arial"/>
                <w:sz w:val="17"/>
              </w:rPr>
              <w:t>Imputation, encoding, scaling, selection, PCA, and fitting occur within grouped training folds</w:t>
            </w:r>
          </w:p>
        </w:tc>
      </w:tr>
    </w:tbl>
    <w:p w14:paraId="67306309" w14:textId="77777777" w:rsidR="00E00B43" w:rsidRDefault="00E00B43">
      <w:pPr>
        <w:spacing w:after="20"/>
      </w:pPr>
    </w:p>
    <w:p w14:paraId="465430DA" w14:textId="77777777" w:rsidR="00E00B43" w:rsidRDefault="00000000">
      <w:pPr>
        <w:pStyle w:val="Heading2"/>
      </w:pPr>
      <w:r>
        <w:t>Domain Derived Features</w:t>
      </w:r>
    </w:p>
    <w:p w14:paraId="26E2FA35" w14:textId="77777777" w:rsidR="00E00B43" w:rsidRDefault="00000000">
      <w:r>
        <w:rPr>
          <w:rFonts w:eastAsia="Arial"/>
        </w:rPr>
        <w:t>Derived variables translate raw dialysis records into quantities that can be interpreted clinically: fluid excess in kilograms and percent of dry weight, ultrafiltration intensity in mL/kg/h, mean arterial pressure, pulse pressure, dialysis vintage, and longitudinal history of prior IDH and nadir SBP. The count of prior sessions is log transformed for modelling.</w:t>
      </w:r>
    </w:p>
    <w:p w14:paraId="6CA58304" w14:textId="77777777" w:rsidR="00E00B43" w:rsidRDefault="00000000">
      <w:pPr>
        <w:keepNext/>
        <w:spacing w:before="80" w:after="60"/>
        <w:jc w:val="center"/>
      </w:pPr>
      <w:r>
        <w:rPr>
          <w:noProof/>
        </w:rPr>
        <w:lastRenderedPageBreak/>
        <w:drawing>
          <wp:inline distT="0" distB="0" distL="0" distR="0" wp14:anchorId="7E81F515" wp14:editId="5AA41C7D">
            <wp:extent cx="5806440" cy="4140186"/>
            <wp:effectExtent l="0" t="0" r="0" b="0"/>
            <wp:docPr id="3" name="Picture 3" descr="Binned relationships between key predictors and observed event preval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nned_relationships.png"/>
                    <pic:cNvPicPr/>
                  </pic:nvPicPr>
                  <pic:blipFill>
                    <a:blip r:embed="rId10"/>
                    <a:stretch>
                      <a:fillRect/>
                    </a:stretch>
                  </pic:blipFill>
                  <pic:spPr>
                    <a:xfrm>
                      <a:off x="0" y="0"/>
                      <a:ext cx="5806440" cy="4140186"/>
                    </a:xfrm>
                    <a:prstGeom prst="rect">
                      <a:avLst/>
                    </a:prstGeom>
                  </pic:spPr>
                </pic:pic>
              </a:graphicData>
            </a:graphic>
          </wp:inline>
        </w:drawing>
      </w:r>
    </w:p>
    <w:p w14:paraId="24A02066" w14:textId="77777777" w:rsidR="00E00B43" w:rsidRDefault="00000000">
      <w:pPr>
        <w:pStyle w:val="Caption"/>
        <w:keepLines/>
        <w:spacing w:after="140"/>
        <w:jc w:val="center"/>
      </w:pPr>
      <w:r>
        <w:rPr>
          <w:rFonts w:eastAsia="Arial"/>
        </w:rPr>
        <w:t>Figure 3. Observed outcome prevalence across bins of selected predictors. These are associations, not causal effects.</w:t>
      </w:r>
    </w:p>
    <w:p w14:paraId="2E07AAC5" w14:textId="77777777" w:rsidR="00E00B43" w:rsidRDefault="00000000">
      <w:pPr>
        <w:pStyle w:val="Heading2"/>
      </w:pPr>
      <w:r>
        <w:t>Feature Selection and Dimensionality Reduction</w:t>
      </w:r>
    </w:p>
    <w:p w14:paraId="772F0681" w14:textId="77777777" w:rsidR="00E00B43" w:rsidRDefault="00000000">
      <w:r>
        <w:rPr>
          <w:rFonts w:eastAsia="Arial"/>
        </w:rPr>
        <w:t>Embedded L1 logistic regression retained 12 of 24 transformed predictors. This candidate tested whether sparse selection could simplify the model without using test outcomes. PCA was fitted after numeric imputation and standardization; 11 components explained 87.6% of numeric-feature variance, exceeding the prespecified 85% threshold.</w:t>
      </w:r>
    </w:p>
    <w:p w14:paraId="621972E1" w14:textId="77777777" w:rsidR="00E00B43" w:rsidRDefault="00000000">
      <w:pPr>
        <w:keepNext/>
        <w:spacing w:before="80" w:after="60"/>
        <w:jc w:val="center"/>
      </w:pPr>
      <w:r>
        <w:rPr>
          <w:noProof/>
        </w:rPr>
        <w:lastRenderedPageBreak/>
        <w:drawing>
          <wp:inline distT="0" distB="0" distL="0" distR="0" wp14:anchorId="64E5DCF9" wp14:editId="615B1612">
            <wp:extent cx="5394960" cy="3205135"/>
            <wp:effectExtent l="0" t="0" r="0" b="0"/>
            <wp:docPr id="4" name="Picture 4" descr="Cumulative PCA explained variance reaching 87.6 percent with 11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variance.png"/>
                    <pic:cNvPicPr/>
                  </pic:nvPicPr>
                  <pic:blipFill>
                    <a:blip r:embed="rId11"/>
                    <a:stretch>
                      <a:fillRect/>
                    </a:stretch>
                  </pic:blipFill>
                  <pic:spPr>
                    <a:xfrm>
                      <a:off x="0" y="0"/>
                      <a:ext cx="5394960" cy="3205135"/>
                    </a:xfrm>
                    <a:prstGeom prst="rect">
                      <a:avLst/>
                    </a:prstGeom>
                  </pic:spPr>
                </pic:pic>
              </a:graphicData>
            </a:graphic>
          </wp:inline>
        </w:drawing>
      </w:r>
    </w:p>
    <w:p w14:paraId="055910DC" w14:textId="77777777" w:rsidR="00E00B43" w:rsidRDefault="00000000">
      <w:pPr>
        <w:pStyle w:val="Caption"/>
        <w:keepLines/>
        <w:spacing w:after="140"/>
        <w:jc w:val="center"/>
      </w:pPr>
      <w:r>
        <w:rPr>
          <w:rFonts w:eastAsia="Arial"/>
        </w:rPr>
        <w:t>Figure 4. Cumulative explained variance of the numeric PCA candidate.</w:t>
      </w:r>
    </w:p>
    <w:p w14:paraId="44E889B5" w14:textId="77777777" w:rsidR="00E00B43" w:rsidRDefault="00000000">
      <w:r>
        <w:rPr>
          <w:rFonts w:eastAsia="Arial"/>
        </w:rPr>
        <w:t>PCA was retained as a required dimensionality-reduction experiment rather than assumed to be beneficial. Its logistic-regression candidate had lower grouped-CV average precision than the selected random forest, showing that a lower-dimensional representation did not improve the primary objective.</w:t>
      </w:r>
    </w:p>
    <w:p w14:paraId="27F7D107" w14:textId="77777777" w:rsidR="00E00B43" w:rsidRDefault="00000000">
      <w:r>
        <w:br w:type="page"/>
      </w:r>
    </w:p>
    <w:p w14:paraId="691ABF13" w14:textId="77777777" w:rsidR="00E00B43" w:rsidRDefault="00000000">
      <w:pPr>
        <w:pStyle w:val="Heading1"/>
      </w:pPr>
      <w:r>
        <w:lastRenderedPageBreak/>
        <w:t>4 Model Implementation and Comparison</w:t>
      </w:r>
    </w:p>
    <w:p w14:paraId="42212B52" w14:textId="77777777" w:rsidR="00E00B43" w:rsidRDefault="00000000">
      <w:pPr>
        <w:pStyle w:val="Heading2"/>
      </w:pPr>
      <w:r>
        <w:t>Candidate Models and Validation</w:t>
      </w:r>
    </w:p>
    <w:p w14:paraId="0D87C674" w14:textId="77777777" w:rsidR="00E00B43" w:rsidRDefault="00000000">
      <w:r>
        <w:rPr>
          <w:rFonts w:eastAsia="Arial"/>
        </w:rPr>
        <w:t>The comparison includes a prevalence baseline, logistic regression, embedded L1 feature selection, decision tree, PCA logistic regression, random forest, and histogram gradient boosting. Deep learning was not added because the inputs are structured tabular variables, there are only 830 independent patients, and calibration and interpretability are more important than model complexity.</w:t>
      </w:r>
    </w:p>
    <w:p w14:paraId="2CD50591" w14:textId="77777777" w:rsidR="00E00B43" w:rsidRDefault="00000000">
      <w:pPr>
        <w:keepNext/>
        <w:spacing w:before="80" w:after="60"/>
        <w:jc w:val="center"/>
      </w:pPr>
      <w:r>
        <w:rPr>
          <w:noProof/>
        </w:rPr>
        <w:drawing>
          <wp:inline distT="0" distB="0" distL="0" distR="0" wp14:anchorId="7E6A93AA" wp14:editId="59AFECDF">
            <wp:extent cx="6035040" cy="1434217"/>
            <wp:effectExtent l="0" t="0" r="0" b="0"/>
            <wp:docPr id="5" name="Picture 5" descr="Model workflow showing predictors, preprocessing, random forest, probability, and alert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4_model_workflow.png"/>
                    <pic:cNvPicPr/>
                  </pic:nvPicPr>
                  <pic:blipFill>
                    <a:blip r:embed="rId12"/>
                    <a:stretch>
                      <a:fillRect/>
                    </a:stretch>
                  </pic:blipFill>
                  <pic:spPr>
                    <a:xfrm>
                      <a:off x="0" y="0"/>
                      <a:ext cx="6035040" cy="1434217"/>
                    </a:xfrm>
                    <a:prstGeom prst="rect">
                      <a:avLst/>
                    </a:prstGeom>
                  </pic:spPr>
                </pic:pic>
              </a:graphicData>
            </a:graphic>
          </wp:inline>
        </w:drawing>
      </w:r>
    </w:p>
    <w:p w14:paraId="034352B6" w14:textId="77777777" w:rsidR="00E00B43" w:rsidRDefault="00000000">
      <w:pPr>
        <w:pStyle w:val="Caption"/>
        <w:keepLines/>
        <w:spacing w:after="140"/>
        <w:jc w:val="center"/>
      </w:pPr>
      <w:r>
        <w:rPr>
          <w:rFonts w:eastAsia="Arial"/>
        </w:rPr>
        <w:t>Figure 5. End-to-end model workflow from eligible session predictors to probability and alert output.</w:t>
      </w:r>
    </w:p>
    <w:tbl>
      <w:tblPr>
        <w:tblW w:w="0" w:type="auto"/>
        <w:jc w:val="center"/>
        <w:tblLayout w:type="fixed"/>
        <w:tblLook w:val="04A0" w:firstRow="1" w:lastRow="0" w:firstColumn="1" w:lastColumn="0" w:noHBand="0" w:noVBand="1"/>
      </w:tblPr>
      <w:tblGrid>
        <w:gridCol w:w="1800"/>
        <w:gridCol w:w="1656"/>
        <w:gridCol w:w="2016"/>
        <w:gridCol w:w="1944"/>
        <w:gridCol w:w="2232"/>
      </w:tblGrid>
      <w:tr w:rsidR="00E00B43" w14:paraId="74A2F99D" w14:textId="77777777">
        <w:trPr>
          <w:tblHeader/>
          <w:jc w:val="center"/>
        </w:trPr>
        <w:tc>
          <w:tcPr>
            <w:tcW w:w="1800" w:type="dxa"/>
            <w:tcBorders>
              <w:top w:val="single" w:sz="6" w:space="0" w:color="D9D9D9"/>
              <w:left w:val="single" w:sz="6" w:space="0" w:color="D9D9D9"/>
              <w:bottom w:val="single" w:sz="6" w:space="0" w:color="D9D9D9"/>
              <w:right w:val="single" w:sz="6" w:space="0" w:color="D9D9D9"/>
            </w:tcBorders>
            <w:shd w:val="clear" w:color="auto" w:fill="0B5C8E"/>
            <w:tcMar>
              <w:top w:w="90" w:type="dxa"/>
              <w:left w:w="100" w:type="dxa"/>
              <w:bottom w:w="90" w:type="dxa"/>
              <w:right w:w="100" w:type="dxa"/>
            </w:tcMar>
            <w:vAlign w:val="center"/>
          </w:tcPr>
          <w:p w14:paraId="48C8CB16" w14:textId="77777777" w:rsidR="00E00B43" w:rsidRDefault="00000000">
            <w:pPr>
              <w:jc w:val="center"/>
            </w:pPr>
            <w:r>
              <w:rPr>
                <w:rFonts w:eastAsia="Arial"/>
                <w:b/>
                <w:color w:val="FFFFFF"/>
                <w:sz w:val="18"/>
              </w:rPr>
              <w:t>Partition</w:t>
            </w:r>
          </w:p>
        </w:tc>
        <w:tc>
          <w:tcPr>
            <w:tcW w:w="1656" w:type="dxa"/>
            <w:tcBorders>
              <w:top w:val="single" w:sz="6" w:space="0" w:color="D9D9D9"/>
              <w:left w:val="single" w:sz="6" w:space="0" w:color="D9D9D9"/>
              <w:bottom w:val="single" w:sz="6" w:space="0" w:color="D9D9D9"/>
              <w:right w:val="single" w:sz="6" w:space="0" w:color="D9D9D9"/>
            </w:tcBorders>
            <w:shd w:val="clear" w:color="auto" w:fill="0B5C8E"/>
            <w:tcMar>
              <w:top w:w="90" w:type="dxa"/>
              <w:left w:w="100" w:type="dxa"/>
              <w:bottom w:w="90" w:type="dxa"/>
              <w:right w:w="100" w:type="dxa"/>
            </w:tcMar>
            <w:vAlign w:val="center"/>
          </w:tcPr>
          <w:p w14:paraId="5A23E2F6" w14:textId="77777777" w:rsidR="00E00B43" w:rsidRDefault="00000000">
            <w:pPr>
              <w:jc w:val="center"/>
            </w:pPr>
            <w:r>
              <w:rPr>
                <w:rFonts w:eastAsia="Arial"/>
                <w:b/>
                <w:color w:val="FFFFFF"/>
                <w:sz w:val="18"/>
              </w:rPr>
              <w:t>Patients</w:t>
            </w:r>
          </w:p>
        </w:tc>
        <w:tc>
          <w:tcPr>
            <w:tcW w:w="2016" w:type="dxa"/>
            <w:tcBorders>
              <w:top w:val="single" w:sz="6" w:space="0" w:color="D9D9D9"/>
              <w:left w:val="single" w:sz="6" w:space="0" w:color="D9D9D9"/>
              <w:bottom w:val="single" w:sz="6" w:space="0" w:color="D9D9D9"/>
              <w:right w:val="single" w:sz="6" w:space="0" w:color="D9D9D9"/>
            </w:tcBorders>
            <w:shd w:val="clear" w:color="auto" w:fill="0B5C8E"/>
            <w:tcMar>
              <w:top w:w="90" w:type="dxa"/>
              <w:left w:w="100" w:type="dxa"/>
              <w:bottom w:w="90" w:type="dxa"/>
              <w:right w:w="100" w:type="dxa"/>
            </w:tcMar>
            <w:vAlign w:val="center"/>
          </w:tcPr>
          <w:p w14:paraId="2DC6CB4A" w14:textId="77777777" w:rsidR="00E00B43" w:rsidRDefault="00000000">
            <w:pPr>
              <w:jc w:val="center"/>
            </w:pPr>
            <w:r>
              <w:rPr>
                <w:rFonts w:eastAsia="Arial"/>
                <w:b/>
                <w:color w:val="FFFFFF"/>
                <w:sz w:val="18"/>
              </w:rPr>
              <w:t>Sessions</w:t>
            </w:r>
          </w:p>
        </w:tc>
        <w:tc>
          <w:tcPr>
            <w:tcW w:w="1944" w:type="dxa"/>
            <w:tcBorders>
              <w:top w:val="single" w:sz="6" w:space="0" w:color="D9D9D9"/>
              <w:left w:val="single" w:sz="6" w:space="0" w:color="D9D9D9"/>
              <w:bottom w:val="single" w:sz="6" w:space="0" w:color="D9D9D9"/>
              <w:right w:val="single" w:sz="6" w:space="0" w:color="D9D9D9"/>
            </w:tcBorders>
            <w:shd w:val="clear" w:color="auto" w:fill="0B5C8E"/>
            <w:tcMar>
              <w:top w:w="90" w:type="dxa"/>
              <w:left w:w="100" w:type="dxa"/>
              <w:bottom w:w="90" w:type="dxa"/>
              <w:right w:w="100" w:type="dxa"/>
            </w:tcMar>
            <w:vAlign w:val="center"/>
          </w:tcPr>
          <w:p w14:paraId="3E719A25" w14:textId="77777777" w:rsidR="00E00B43" w:rsidRDefault="00000000">
            <w:pPr>
              <w:jc w:val="center"/>
            </w:pPr>
            <w:r>
              <w:rPr>
                <w:rFonts w:eastAsia="Arial"/>
                <w:b/>
                <w:color w:val="FFFFFF"/>
                <w:sz w:val="18"/>
              </w:rPr>
              <w:t>Events</w:t>
            </w:r>
          </w:p>
        </w:tc>
        <w:tc>
          <w:tcPr>
            <w:tcW w:w="2232" w:type="dxa"/>
            <w:tcBorders>
              <w:top w:val="single" w:sz="6" w:space="0" w:color="D9D9D9"/>
              <w:left w:val="single" w:sz="6" w:space="0" w:color="D9D9D9"/>
              <w:bottom w:val="single" w:sz="6" w:space="0" w:color="D9D9D9"/>
              <w:right w:val="single" w:sz="6" w:space="0" w:color="D9D9D9"/>
            </w:tcBorders>
            <w:shd w:val="clear" w:color="auto" w:fill="0B5C8E"/>
            <w:tcMar>
              <w:top w:w="90" w:type="dxa"/>
              <w:left w:w="100" w:type="dxa"/>
              <w:bottom w:w="90" w:type="dxa"/>
              <w:right w:w="100" w:type="dxa"/>
            </w:tcMar>
            <w:vAlign w:val="center"/>
          </w:tcPr>
          <w:p w14:paraId="27334320" w14:textId="77777777" w:rsidR="00E00B43" w:rsidRDefault="00000000">
            <w:pPr>
              <w:jc w:val="center"/>
            </w:pPr>
            <w:r>
              <w:rPr>
                <w:rFonts w:eastAsia="Arial"/>
                <w:b/>
                <w:color w:val="FFFFFF"/>
                <w:sz w:val="18"/>
              </w:rPr>
              <w:t>Prevalence</w:t>
            </w:r>
          </w:p>
        </w:tc>
      </w:tr>
      <w:tr w:rsidR="00E00B43" w14:paraId="359CDA00" w14:textId="77777777">
        <w:trPr>
          <w:cantSplit/>
          <w:jc w:val="center"/>
        </w:trPr>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2B4EF7D1" w14:textId="77777777" w:rsidR="00E00B43" w:rsidRDefault="00000000">
            <w:r>
              <w:rPr>
                <w:rFonts w:eastAsia="Arial"/>
                <w:sz w:val="18"/>
              </w:rPr>
              <w:t>Training</w:t>
            </w:r>
          </w:p>
        </w:tc>
        <w:tc>
          <w:tcPr>
            <w:tcW w:w="1656"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0F85E977" w14:textId="77777777" w:rsidR="00E00B43" w:rsidRDefault="00000000">
            <w:pPr>
              <w:jc w:val="center"/>
            </w:pPr>
            <w:r>
              <w:rPr>
                <w:rFonts w:eastAsia="Arial"/>
                <w:sz w:val="18"/>
              </w:rPr>
              <w:t>496</w:t>
            </w:r>
          </w:p>
        </w:tc>
        <w:tc>
          <w:tcPr>
            <w:tcW w:w="2016"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1F5A3A39" w14:textId="77777777" w:rsidR="00E00B43" w:rsidRDefault="00000000">
            <w:pPr>
              <w:jc w:val="center"/>
            </w:pPr>
            <w:r>
              <w:rPr>
                <w:rFonts w:eastAsia="Arial"/>
                <w:sz w:val="18"/>
              </w:rPr>
              <w:t>64,053</w:t>
            </w:r>
          </w:p>
        </w:tc>
        <w:tc>
          <w:tcPr>
            <w:tcW w:w="1944"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637854D4" w14:textId="77777777" w:rsidR="00E00B43" w:rsidRDefault="00000000">
            <w:pPr>
              <w:jc w:val="center"/>
            </w:pPr>
            <w:r>
              <w:rPr>
                <w:rFonts w:eastAsia="Arial"/>
                <w:sz w:val="18"/>
              </w:rPr>
              <w:t>5,440</w:t>
            </w:r>
          </w:p>
        </w:tc>
        <w:tc>
          <w:tcPr>
            <w:tcW w:w="2232"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1A5B24BB" w14:textId="77777777" w:rsidR="00E00B43" w:rsidRDefault="00000000">
            <w:pPr>
              <w:jc w:val="center"/>
            </w:pPr>
            <w:r>
              <w:rPr>
                <w:rFonts w:eastAsia="Arial"/>
                <w:sz w:val="18"/>
              </w:rPr>
              <w:t>8.49%</w:t>
            </w:r>
          </w:p>
        </w:tc>
      </w:tr>
      <w:tr w:rsidR="00E00B43" w14:paraId="78338172" w14:textId="77777777">
        <w:trPr>
          <w:cantSplit/>
          <w:jc w:val="center"/>
        </w:trPr>
        <w:tc>
          <w:tcPr>
            <w:tcW w:w="1800"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5D63F117" w14:textId="77777777" w:rsidR="00E00B43" w:rsidRDefault="00000000">
            <w:r>
              <w:rPr>
                <w:rFonts w:eastAsia="Arial"/>
                <w:sz w:val="18"/>
              </w:rPr>
              <w:t>Validation</w:t>
            </w:r>
          </w:p>
        </w:tc>
        <w:tc>
          <w:tcPr>
            <w:tcW w:w="1656"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5E24D6F2" w14:textId="77777777" w:rsidR="00E00B43" w:rsidRDefault="00000000">
            <w:pPr>
              <w:jc w:val="center"/>
            </w:pPr>
            <w:r>
              <w:rPr>
                <w:rFonts w:eastAsia="Arial"/>
                <w:sz w:val="18"/>
              </w:rPr>
              <w:t>164</w:t>
            </w:r>
          </w:p>
        </w:tc>
        <w:tc>
          <w:tcPr>
            <w:tcW w:w="2016"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4656E8B7" w14:textId="77777777" w:rsidR="00E00B43" w:rsidRDefault="00000000">
            <w:pPr>
              <w:jc w:val="center"/>
            </w:pPr>
            <w:r>
              <w:rPr>
                <w:rFonts w:eastAsia="Arial"/>
                <w:sz w:val="18"/>
              </w:rPr>
              <w:t>21,351</w:t>
            </w:r>
          </w:p>
        </w:tc>
        <w:tc>
          <w:tcPr>
            <w:tcW w:w="1944"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0F2A966A" w14:textId="77777777" w:rsidR="00E00B43" w:rsidRDefault="00000000">
            <w:pPr>
              <w:jc w:val="center"/>
            </w:pPr>
            <w:r>
              <w:rPr>
                <w:rFonts w:eastAsia="Arial"/>
                <w:sz w:val="18"/>
              </w:rPr>
              <w:t>1,813</w:t>
            </w:r>
          </w:p>
        </w:tc>
        <w:tc>
          <w:tcPr>
            <w:tcW w:w="2232"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6FD9237E" w14:textId="77777777" w:rsidR="00E00B43" w:rsidRDefault="00000000">
            <w:pPr>
              <w:jc w:val="center"/>
            </w:pPr>
            <w:r>
              <w:rPr>
                <w:rFonts w:eastAsia="Arial"/>
                <w:sz w:val="18"/>
              </w:rPr>
              <w:t>8.49%</w:t>
            </w:r>
          </w:p>
        </w:tc>
      </w:tr>
      <w:tr w:rsidR="00E00B43" w14:paraId="61E9D2A3" w14:textId="77777777">
        <w:trPr>
          <w:cantSplit/>
          <w:jc w:val="center"/>
        </w:trPr>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6AF9E92C" w14:textId="77777777" w:rsidR="00E00B43" w:rsidRDefault="00000000">
            <w:r>
              <w:rPr>
                <w:rFonts w:eastAsia="Arial"/>
                <w:sz w:val="18"/>
              </w:rPr>
              <w:t>Test</w:t>
            </w:r>
          </w:p>
        </w:tc>
        <w:tc>
          <w:tcPr>
            <w:tcW w:w="1656"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10733972" w14:textId="77777777" w:rsidR="00E00B43" w:rsidRDefault="00000000">
            <w:pPr>
              <w:jc w:val="center"/>
            </w:pPr>
            <w:r>
              <w:rPr>
                <w:rFonts w:eastAsia="Arial"/>
                <w:sz w:val="18"/>
              </w:rPr>
              <w:t>170</w:t>
            </w:r>
          </w:p>
        </w:tc>
        <w:tc>
          <w:tcPr>
            <w:tcW w:w="2016"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2F6F72A7" w14:textId="77777777" w:rsidR="00E00B43" w:rsidRDefault="00000000">
            <w:pPr>
              <w:jc w:val="center"/>
            </w:pPr>
            <w:r>
              <w:rPr>
                <w:rFonts w:eastAsia="Arial"/>
                <w:sz w:val="18"/>
              </w:rPr>
              <w:t>21,354</w:t>
            </w:r>
          </w:p>
        </w:tc>
        <w:tc>
          <w:tcPr>
            <w:tcW w:w="1944"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618E38E6" w14:textId="77777777" w:rsidR="00E00B43" w:rsidRDefault="00000000">
            <w:pPr>
              <w:jc w:val="center"/>
            </w:pPr>
            <w:r>
              <w:rPr>
                <w:rFonts w:eastAsia="Arial"/>
                <w:sz w:val="18"/>
              </w:rPr>
              <w:t>1,814</w:t>
            </w:r>
          </w:p>
        </w:tc>
        <w:tc>
          <w:tcPr>
            <w:tcW w:w="2232"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2829AD4B" w14:textId="77777777" w:rsidR="00E00B43" w:rsidRDefault="00000000">
            <w:pPr>
              <w:jc w:val="center"/>
            </w:pPr>
            <w:r>
              <w:rPr>
                <w:rFonts w:eastAsia="Arial"/>
                <w:sz w:val="18"/>
              </w:rPr>
              <w:t>8.49%</w:t>
            </w:r>
          </w:p>
        </w:tc>
      </w:tr>
    </w:tbl>
    <w:p w14:paraId="6242A07D" w14:textId="77777777" w:rsidR="00E00B43" w:rsidRDefault="00E00B43">
      <w:pPr>
        <w:spacing w:after="20"/>
      </w:pPr>
    </w:p>
    <w:p w14:paraId="3113BD1E" w14:textId="77777777" w:rsidR="00E00B43" w:rsidRDefault="00000000">
      <w:pPr>
        <w:pStyle w:val="Heading2"/>
      </w:pPr>
      <w:r>
        <w:t>Model Selection</w:t>
      </w:r>
    </w:p>
    <w:p w14:paraId="5D4AFC57" w14:textId="77777777" w:rsidR="00E00B43" w:rsidRDefault="00000000">
      <w:r>
        <w:rPr>
          <w:rFonts w:eastAsia="Arial"/>
        </w:rPr>
        <w:t>Histogram gradient boosting had the highest grouped-CV average precision at 0.446, while random forest achieved 0.440. Because the two were within the prespecified 0.01 tolerance, validation Brier score determined the choice. Random forest had a validation Brier score of 0.058 compared with 0.134 for histogram gradient boosting and was selected.</w:t>
      </w:r>
    </w:p>
    <w:p w14:paraId="20BF8AA5" w14:textId="77777777" w:rsidR="00E00B43" w:rsidRDefault="00000000">
      <w:pPr>
        <w:keepNext/>
        <w:spacing w:before="80" w:after="60"/>
        <w:jc w:val="center"/>
      </w:pPr>
      <w:r>
        <w:rPr>
          <w:noProof/>
        </w:rPr>
        <w:drawing>
          <wp:inline distT="0" distB="0" distL="0" distR="0" wp14:anchorId="4D1F1A7A" wp14:editId="3D4790A3">
            <wp:extent cx="6035040" cy="2711926"/>
            <wp:effectExtent l="0" t="0" r="0" b="0"/>
            <wp:docPr id="6" name="Picture 6" descr="Comparison of seven models on grouped cross-validation average precision and validation Brier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4_model_comparison.png"/>
                    <pic:cNvPicPr/>
                  </pic:nvPicPr>
                  <pic:blipFill>
                    <a:blip r:embed="rId13"/>
                    <a:stretch>
                      <a:fillRect/>
                    </a:stretch>
                  </pic:blipFill>
                  <pic:spPr>
                    <a:xfrm>
                      <a:off x="0" y="0"/>
                      <a:ext cx="6035040" cy="2711926"/>
                    </a:xfrm>
                    <a:prstGeom prst="rect">
                      <a:avLst/>
                    </a:prstGeom>
                  </pic:spPr>
                </pic:pic>
              </a:graphicData>
            </a:graphic>
          </wp:inline>
        </w:drawing>
      </w:r>
    </w:p>
    <w:p w14:paraId="6F36AB23" w14:textId="77777777" w:rsidR="00E00B43" w:rsidRDefault="00000000">
      <w:pPr>
        <w:pStyle w:val="Caption"/>
        <w:keepLines/>
        <w:spacing w:after="140"/>
        <w:jc w:val="center"/>
      </w:pPr>
      <w:r>
        <w:rPr>
          <w:rFonts w:eastAsia="Arial"/>
        </w:rPr>
        <w:t>Figure 6. Candidate model comparison using grouped-CV average precision and validation Brier score.</w:t>
      </w:r>
    </w:p>
    <w:p w14:paraId="1F505DB2" w14:textId="77777777" w:rsidR="00E00B43" w:rsidRDefault="00000000">
      <w:pPr>
        <w:pStyle w:val="Heading2"/>
      </w:pPr>
      <w:r>
        <w:lastRenderedPageBreak/>
        <w:t>Locked Test Performance</w:t>
      </w:r>
    </w:p>
    <w:tbl>
      <w:tblPr>
        <w:tblW w:w="0" w:type="auto"/>
        <w:jc w:val="center"/>
        <w:tblLayout w:type="fixed"/>
        <w:tblLook w:val="04A0" w:firstRow="1" w:lastRow="0" w:firstColumn="1" w:lastColumn="0" w:noHBand="0" w:noVBand="1"/>
      </w:tblPr>
      <w:tblGrid>
        <w:gridCol w:w="3312"/>
        <w:gridCol w:w="2016"/>
        <w:gridCol w:w="4320"/>
      </w:tblGrid>
      <w:tr w:rsidR="00E00B43" w14:paraId="2DB80273" w14:textId="77777777">
        <w:trPr>
          <w:tblHeader/>
          <w:jc w:val="center"/>
        </w:trPr>
        <w:tc>
          <w:tcPr>
            <w:tcW w:w="3312" w:type="dxa"/>
            <w:tcBorders>
              <w:top w:val="single" w:sz="6" w:space="0" w:color="D9D9D9"/>
              <w:left w:val="single" w:sz="6" w:space="0" w:color="D9D9D9"/>
              <w:bottom w:val="single" w:sz="6" w:space="0" w:color="D9D9D9"/>
              <w:right w:val="single" w:sz="6" w:space="0" w:color="D9D9D9"/>
            </w:tcBorders>
            <w:shd w:val="clear" w:color="auto" w:fill="0B5C8E"/>
            <w:tcMar>
              <w:top w:w="90" w:type="dxa"/>
              <w:left w:w="100" w:type="dxa"/>
              <w:bottom w:w="90" w:type="dxa"/>
              <w:right w:w="100" w:type="dxa"/>
            </w:tcMar>
            <w:vAlign w:val="center"/>
          </w:tcPr>
          <w:p w14:paraId="6927326E" w14:textId="77777777" w:rsidR="00E00B43" w:rsidRDefault="00000000">
            <w:pPr>
              <w:jc w:val="center"/>
            </w:pPr>
            <w:r>
              <w:rPr>
                <w:rFonts w:eastAsia="Arial"/>
                <w:b/>
                <w:color w:val="FFFFFF"/>
                <w:sz w:val="17"/>
              </w:rPr>
              <w:t>Metric</w:t>
            </w:r>
          </w:p>
        </w:tc>
        <w:tc>
          <w:tcPr>
            <w:tcW w:w="2016" w:type="dxa"/>
            <w:tcBorders>
              <w:top w:val="single" w:sz="6" w:space="0" w:color="D9D9D9"/>
              <w:left w:val="single" w:sz="6" w:space="0" w:color="D9D9D9"/>
              <w:bottom w:val="single" w:sz="6" w:space="0" w:color="D9D9D9"/>
              <w:right w:val="single" w:sz="6" w:space="0" w:color="D9D9D9"/>
            </w:tcBorders>
            <w:shd w:val="clear" w:color="auto" w:fill="0B5C8E"/>
            <w:tcMar>
              <w:top w:w="90" w:type="dxa"/>
              <w:left w:w="100" w:type="dxa"/>
              <w:bottom w:w="90" w:type="dxa"/>
              <w:right w:w="100" w:type="dxa"/>
            </w:tcMar>
            <w:vAlign w:val="center"/>
          </w:tcPr>
          <w:p w14:paraId="1FC68BB7" w14:textId="77777777" w:rsidR="00E00B43" w:rsidRDefault="00000000">
            <w:pPr>
              <w:jc w:val="center"/>
            </w:pPr>
            <w:r>
              <w:rPr>
                <w:rFonts w:eastAsia="Arial"/>
                <w:b/>
                <w:color w:val="FFFFFF"/>
                <w:sz w:val="17"/>
              </w:rPr>
              <w:t>Estimate</w:t>
            </w:r>
          </w:p>
        </w:tc>
        <w:tc>
          <w:tcPr>
            <w:tcW w:w="4320" w:type="dxa"/>
            <w:tcBorders>
              <w:top w:val="single" w:sz="6" w:space="0" w:color="D9D9D9"/>
              <w:left w:val="single" w:sz="6" w:space="0" w:color="D9D9D9"/>
              <w:bottom w:val="single" w:sz="6" w:space="0" w:color="D9D9D9"/>
              <w:right w:val="single" w:sz="6" w:space="0" w:color="D9D9D9"/>
            </w:tcBorders>
            <w:shd w:val="clear" w:color="auto" w:fill="0B5C8E"/>
            <w:tcMar>
              <w:top w:w="90" w:type="dxa"/>
              <w:left w:w="100" w:type="dxa"/>
              <w:bottom w:w="90" w:type="dxa"/>
              <w:right w:w="100" w:type="dxa"/>
            </w:tcMar>
            <w:vAlign w:val="center"/>
          </w:tcPr>
          <w:p w14:paraId="1EEAB896" w14:textId="77777777" w:rsidR="00E00B43" w:rsidRDefault="00000000">
            <w:pPr>
              <w:jc w:val="center"/>
            </w:pPr>
            <w:r>
              <w:rPr>
                <w:rFonts w:eastAsia="Arial"/>
                <w:b/>
                <w:color w:val="FFFFFF"/>
                <w:sz w:val="17"/>
              </w:rPr>
              <w:t>Patient-bootstrap 95% interval</w:t>
            </w:r>
          </w:p>
        </w:tc>
      </w:tr>
      <w:tr w:rsidR="00E00B43" w14:paraId="41706BD3" w14:textId="77777777">
        <w:trPr>
          <w:cantSplit/>
          <w:jc w:val="center"/>
        </w:trPr>
        <w:tc>
          <w:tcPr>
            <w:tcW w:w="33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0742B2D9" w14:textId="77777777" w:rsidR="00E00B43" w:rsidRDefault="00000000">
            <w:r>
              <w:rPr>
                <w:rFonts w:eastAsia="Arial"/>
                <w:sz w:val="17"/>
              </w:rPr>
              <w:t>Average precision</w:t>
            </w:r>
          </w:p>
        </w:tc>
        <w:tc>
          <w:tcPr>
            <w:tcW w:w="2016"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24D3E3BC" w14:textId="77777777" w:rsidR="00E00B43" w:rsidRDefault="00000000">
            <w:pPr>
              <w:jc w:val="center"/>
            </w:pPr>
            <w:r>
              <w:rPr>
                <w:rFonts w:eastAsia="Arial"/>
                <w:sz w:val="17"/>
              </w:rPr>
              <w:t>0.395</w:t>
            </w:r>
          </w:p>
        </w:tc>
        <w:tc>
          <w:tcPr>
            <w:tcW w:w="4320"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6FD45FE9" w14:textId="77777777" w:rsidR="00E00B43" w:rsidRDefault="00000000">
            <w:pPr>
              <w:jc w:val="center"/>
            </w:pPr>
            <w:r>
              <w:rPr>
                <w:rFonts w:eastAsia="Arial"/>
                <w:sz w:val="17"/>
              </w:rPr>
              <w:t>0.306 to 0.478</w:t>
            </w:r>
          </w:p>
        </w:tc>
      </w:tr>
      <w:tr w:rsidR="00E00B43" w14:paraId="15F994E6" w14:textId="77777777">
        <w:trPr>
          <w:cantSplit/>
          <w:jc w:val="center"/>
        </w:trPr>
        <w:tc>
          <w:tcPr>
            <w:tcW w:w="3312"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10E55300" w14:textId="77777777" w:rsidR="00E00B43" w:rsidRDefault="00000000">
            <w:r>
              <w:rPr>
                <w:rFonts w:eastAsia="Arial"/>
                <w:sz w:val="17"/>
              </w:rPr>
              <w:t>ROC AUC</w:t>
            </w:r>
          </w:p>
        </w:tc>
        <w:tc>
          <w:tcPr>
            <w:tcW w:w="2016"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48ADD634" w14:textId="77777777" w:rsidR="00E00B43" w:rsidRDefault="00000000">
            <w:pPr>
              <w:jc w:val="center"/>
            </w:pPr>
            <w:r>
              <w:rPr>
                <w:rFonts w:eastAsia="Arial"/>
                <w:sz w:val="17"/>
              </w:rPr>
              <w:t>0.852</w:t>
            </w:r>
          </w:p>
        </w:tc>
        <w:tc>
          <w:tcPr>
            <w:tcW w:w="4320"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4FFF735D" w14:textId="77777777" w:rsidR="00E00B43" w:rsidRDefault="00000000">
            <w:pPr>
              <w:jc w:val="center"/>
            </w:pPr>
            <w:r>
              <w:rPr>
                <w:rFonts w:eastAsia="Arial"/>
                <w:sz w:val="17"/>
              </w:rPr>
              <w:t>0.821 to 0.876</w:t>
            </w:r>
          </w:p>
        </w:tc>
      </w:tr>
      <w:tr w:rsidR="00E00B43" w14:paraId="5813B56E" w14:textId="77777777">
        <w:trPr>
          <w:cantSplit/>
          <w:jc w:val="center"/>
        </w:trPr>
        <w:tc>
          <w:tcPr>
            <w:tcW w:w="33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22D1F46D" w14:textId="77777777" w:rsidR="00E00B43" w:rsidRDefault="00000000">
            <w:r>
              <w:rPr>
                <w:rFonts w:eastAsia="Arial"/>
                <w:sz w:val="17"/>
              </w:rPr>
              <w:t>Brier score</w:t>
            </w:r>
          </w:p>
        </w:tc>
        <w:tc>
          <w:tcPr>
            <w:tcW w:w="2016"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6B9ACE44" w14:textId="77777777" w:rsidR="00E00B43" w:rsidRDefault="00000000">
            <w:pPr>
              <w:jc w:val="center"/>
            </w:pPr>
            <w:r>
              <w:rPr>
                <w:rFonts w:eastAsia="Arial"/>
                <w:sz w:val="17"/>
              </w:rPr>
              <w:t>0.062</w:t>
            </w:r>
          </w:p>
        </w:tc>
        <w:tc>
          <w:tcPr>
            <w:tcW w:w="4320"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2CE7EA49" w14:textId="77777777" w:rsidR="00E00B43" w:rsidRDefault="00000000">
            <w:pPr>
              <w:jc w:val="center"/>
            </w:pPr>
            <w:r>
              <w:rPr>
                <w:rFonts w:eastAsia="Arial"/>
                <w:sz w:val="17"/>
              </w:rPr>
              <w:t>0.049 to 0.077</w:t>
            </w:r>
          </w:p>
        </w:tc>
      </w:tr>
      <w:tr w:rsidR="00E00B43" w14:paraId="6CF5BAE4" w14:textId="77777777">
        <w:trPr>
          <w:cantSplit/>
          <w:jc w:val="center"/>
        </w:trPr>
        <w:tc>
          <w:tcPr>
            <w:tcW w:w="3312"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07241EAC" w14:textId="77777777" w:rsidR="00E00B43" w:rsidRDefault="00000000">
            <w:r>
              <w:rPr>
                <w:rFonts w:eastAsia="Arial"/>
                <w:sz w:val="17"/>
              </w:rPr>
              <w:t>Sensitivity</w:t>
            </w:r>
          </w:p>
        </w:tc>
        <w:tc>
          <w:tcPr>
            <w:tcW w:w="2016"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0FB95A92" w14:textId="77777777" w:rsidR="00E00B43" w:rsidRDefault="00000000">
            <w:pPr>
              <w:jc w:val="center"/>
            </w:pPr>
            <w:r>
              <w:rPr>
                <w:rFonts w:eastAsia="Arial"/>
                <w:sz w:val="17"/>
              </w:rPr>
              <w:t>0.661</w:t>
            </w:r>
          </w:p>
        </w:tc>
        <w:tc>
          <w:tcPr>
            <w:tcW w:w="4320"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54D43B59" w14:textId="77777777" w:rsidR="00E00B43" w:rsidRDefault="00000000">
            <w:pPr>
              <w:jc w:val="center"/>
            </w:pPr>
            <w:r>
              <w:rPr>
                <w:rFonts w:eastAsia="Arial"/>
                <w:sz w:val="17"/>
              </w:rPr>
              <w:t>0.550 to 0.745</w:t>
            </w:r>
          </w:p>
        </w:tc>
      </w:tr>
      <w:tr w:rsidR="00E00B43" w14:paraId="17DD3C27" w14:textId="77777777">
        <w:trPr>
          <w:cantSplit/>
          <w:jc w:val="center"/>
        </w:trPr>
        <w:tc>
          <w:tcPr>
            <w:tcW w:w="3312"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2A0FBCCF" w14:textId="77777777" w:rsidR="00E00B43" w:rsidRDefault="00000000">
            <w:r>
              <w:rPr>
                <w:rFonts w:eastAsia="Arial"/>
                <w:sz w:val="17"/>
              </w:rPr>
              <w:t>Specificity</w:t>
            </w:r>
          </w:p>
        </w:tc>
        <w:tc>
          <w:tcPr>
            <w:tcW w:w="2016"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38CB0DF8" w14:textId="77777777" w:rsidR="00E00B43" w:rsidRDefault="00000000">
            <w:pPr>
              <w:jc w:val="center"/>
            </w:pPr>
            <w:r>
              <w:rPr>
                <w:rFonts w:eastAsia="Arial"/>
                <w:sz w:val="17"/>
              </w:rPr>
              <w:t>0.861</w:t>
            </w:r>
          </w:p>
        </w:tc>
        <w:tc>
          <w:tcPr>
            <w:tcW w:w="4320"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60E3A27B" w14:textId="77777777" w:rsidR="00E00B43" w:rsidRDefault="00000000">
            <w:pPr>
              <w:jc w:val="center"/>
            </w:pPr>
            <w:r>
              <w:rPr>
                <w:rFonts w:eastAsia="Arial"/>
                <w:sz w:val="17"/>
              </w:rPr>
              <w:t>0.806 to 0.903</w:t>
            </w:r>
          </w:p>
        </w:tc>
      </w:tr>
      <w:tr w:rsidR="00E00B43" w14:paraId="1361204C" w14:textId="77777777">
        <w:trPr>
          <w:cantSplit/>
          <w:jc w:val="center"/>
        </w:trPr>
        <w:tc>
          <w:tcPr>
            <w:tcW w:w="3312"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1D595420" w14:textId="77777777" w:rsidR="00E00B43" w:rsidRDefault="00000000">
            <w:r>
              <w:rPr>
                <w:rFonts w:eastAsia="Arial"/>
                <w:sz w:val="17"/>
              </w:rPr>
              <w:t>Precision</w:t>
            </w:r>
          </w:p>
        </w:tc>
        <w:tc>
          <w:tcPr>
            <w:tcW w:w="2016"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06FD0CB2" w14:textId="77777777" w:rsidR="00E00B43" w:rsidRDefault="00000000">
            <w:pPr>
              <w:jc w:val="center"/>
            </w:pPr>
            <w:r>
              <w:rPr>
                <w:rFonts w:eastAsia="Arial"/>
                <w:sz w:val="17"/>
              </w:rPr>
              <w:t>0.306</w:t>
            </w:r>
          </w:p>
        </w:tc>
        <w:tc>
          <w:tcPr>
            <w:tcW w:w="4320"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34DCBD90" w14:textId="77777777" w:rsidR="00E00B43" w:rsidRDefault="00000000">
            <w:pPr>
              <w:jc w:val="center"/>
            </w:pPr>
            <w:r>
              <w:rPr>
                <w:rFonts w:eastAsia="Arial"/>
                <w:sz w:val="17"/>
              </w:rPr>
              <w:t>0.260 to 0.353</w:t>
            </w:r>
          </w:p>
        </w:tc>
      </w:tr>
    </w:tbl>
    <w:p w14:paraId="1020B511" w14:textId="77777777" w:rsidR="00E00B43" w:rsidRDefault="00E00B43">
      <w:pPr>
        <w:spacing w:after="20"/>
      </w:pPr>
    </w:p>
    <w:p w14:paraId="51CEFC28" w14:textId="77777777" w:rsidR="00E00B43" w:rsidRDefault="00000000">
      <w:pPr>
        <w:keepNext/>
        <w:spacing w:before="80" w:after="60"/>
        <w:jc w:val="center"/>
      </w:pPr>
      <w:r>
        <w:rPr>
          <w:noProof/>
        </w:rPr>
        <w:drawing>
          <wp:inline distT="0" distB="0" distL="0" distR="0" wp14:anchorId="7D84A0A4" wp14:editId="6413B534">
            <wp:extent cx="5806440" cy="2223787"/>
            <wp:effectExtent l="0" t="0" r="0" b="0"/>
            <wp:docPr id="7" name="Picture 7" descr="ROC and precision-recall curves for the selected model on the locked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pr_curves.png"/>
                    <pic:cNvPicPr/>
                  </pic:nvPicPr>
                  <pic:blipFill>
                    <a:blip r:embed="rId14"/>
                    <a:stretch>
                      <a:fillRect/>
                    </a:stretch>
                  </pic:blipFill>
                  <pic:spPr>
                    <a:xfrm>
                      <a:off x="0" y="0"/>
                      <a:ext cx="5806440" cy="2223787"/>
                    </a:xfrm>
                    <a:prstGeom prst="rect">
                      <a:avLst/>
                    </a:prstGeom>
                  </pic:spPr>
                </pic:pic>
              </a:graphicData>
            </a:graphic>
          </wp:inline>
        </w:drawing>
      </w:r>
    </w:p>
    <w:p w14:paraId="0CAC601A" w14:textId="77777777" w:rsidR="00E00B43" w:rsidRDefault="00000000">
      <w:pPr>
        <w:pStyle w:val="Caption"/>
        <w:keepLines/>
        <w:spacing w:after="140"/>
        <w:jc w:val="center"/>
      </w:pPr>
      <w:r>
        <w:rPr>
          <w:rFonts w:eastAsia="Arial"/>
        </w:rPr>
        <w:t>Figure 7. Locked test ROC and precision-recall curves.</w:t>
      </w:r>
    </w:p>
    <w:p w14:paraId="4BEF898E" w14:textId="77777777" w:rsidR="00E00B43" w:rsidRDefault="00000000">
      <w:pPr>
        <w:keepNext/>
        <w:spacing w:before="80" w:after="60"/>
        <w:jc w:val="center"/>
      </w:pPr>
      <w:r>
        <w:rPr>
          <w:noProof/>
        </w:rPr>
        <w:lastRenderedPageBreak/>
        <w:drawing>
          <wp:inline distT="0" distB="0" distL="0" distR="0" wp14:anchorId="631B6EDE" wp14:editId="2E7938D4">
            <wp:extent cx="5760720" cy="3853632"/>
            <wp:effectExtent l="0" t="0" r="0" b="0"/>
            <wp:docPr id="8" name="Picture 8" descr="Observed event rate plotted against predicted probability by calibration 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4_calibration_plot.png"/>
                    <pic:cNvPicPr/>
                  </pic:nvPicPr>
                  <pic:blipFill>
                    <a:blip r:embed="rId15"/>
                    <a:stretch>
                      <a:fillRect/>
                    </a:stretch>
                  </pic:blipFill>
                  <pic:spPr>
                    <a:xfrm>
                      <a:off x="0" y="0"/>
                      <a:ext cx="5760720" cy="3853632"/>
                    </a:xfrm>
                    <a:prstGeom prst="rect">
                      <a:avLst/>
                    </a:prstGeom>
                  </pic:spPr>
                </pic:pic>
              </a:graphicData>
            </a:graphic>
          </wp:inline>
        </w:drawing>
      </w:r>
    </w:p>
    <w:p w14:paraId="3F7CEAB2" w14:textId="77777777" w:rsidR="00E00B43" w:rsidRDefault="00000000">
      <w:pPr>
        <w:pStyle w:val="Caption"/>
        <w:keepLines/>
        <w:spacing w:after="140"/>
        <w:jc w:val="center"/>
      </w:pPr>
      <w:r>
        <w:rPr>
          <w:rFonts w:eastAsia="Arial"/>
        </w:rPr>
        <w:t>Figure 8. Test calibration curve. Sparse high-risk bins require cautious interpretation.</w:t>
      </w:r>
    </w:p>
    <w:p w14:paraId="36448DE6" w14:textId="77777777" w:rsidR="00E00B43" w:rsidRDefault="00000000">
      <w:pPr>
        <w:pStyle w:val="Heading2"/>
      </w:pPr>
      <w:r>
        <w:t>Operational Capacity</w:t>
      </w:r>
    </w:p>
    <w:p w14:paraId="7F048538" w14:textId="77777777" w:rsidR="00E00B43" w:rsidRDefault="00000000">
      <w:r>
        <w:rPr>
          <w:rFonts w:eastAsia="Arial"/>
        </w:rPr>
        <w:t>At the validation-selected probability threshold of 0.143, the model alerts on 18.3% of test sessions. A separate ranking analysis fixes the review capacity at 20% of sessions. Under that constraint, the highest-risk group contains 69.1% of events, but 14.1 non-event sessions per 100 total sessions would also be reviewed.</w:t>
      </w:r>
    </w:p>
    <w:p w14:paraId="6B77BF49" w14:textId="77777777" w:rsidR="00E00B43" w:rsidRDefault="00000000">
      <w:pPr>
        <w:keepNext/>
        <w:spacing w:before="80" w:after="60"/>
        <w:jc w:val="center"/>
      </w:pPr>
      <w:r>
        <w:rPr>
          <w:noProof/>
        </w:rPr>
        <w:drawing>
          <wp:inline distT="0" distB="0" distL="0" distR="0" wp14:anchorId="7B85F25B" wp14:editId="5CAF88FD">
            <wp:extent cx="5532120" cy="3425232"/>
            <wp:effectExtent l="0" t="0" r="0" b="0"/>
            <wp:docPr id="9" name="Picture 9" descr="Capacity curve showing tradeoffs between event capture and false-alert bur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acity_curve.png"/>
                    <pic:cNvPicPr/>
                  </pic:nvPicPr>
                  <pic:blipFill>
                    <a:blip r:embed="rId16"/>
                    <a:stretch>
                      <a:fillRect/>
                    </a:stretch>
                  </pic:blipFill>
                  <pic:spPr>
                    <a:xfrm>
                      <a:off x="0" y="0"/>
                      <a:ext cx="5532120" cy="3425232"/>
                    </a:xfrm>
                    <a:prstGeom prst="rect">
                      <a:avLst/>
                    </a:prstGeom>
                  </pic:spPr>
                </pic:pic>
              </a:graphicData>
            </a:graphic>
          </wp:inline>
        </w:drawing>
      </w:r>
    </w:p>
    <w:p w14:paraId="6BF23CCB" w14:textId="77777777" w:rsidR="00E00B43" w:rsidRDefault="00000000">
      <w:pPr>
        <w:pStyle w:val="Caption"/>
        <w:keepLines/>
        <w:spacing w:after="140"/>
        <w:jc w:val="center"/>
      </w:pPr>
      <w:r>
        <w:rPr>
          <w:rFonts w:eastAsia="Arial"/>
        </w:rPr>
        <w:t>Figure 9. Recall, precision, lift, and false-alert workload across review capacity levels.</w:t>
      </w:r>
    </w:p>
    <w:p w14:paraId="47131987" w14:textId="77777777" w:rsidR="00E00B43" w:rsidRDefault="00000000">
      <w:pPr>
        <w:pStyle w:val="Heading1"/>
      </w:pPr>
      <w:r>
        <w:lastRenderedPageBreak/>
        <w:t>5 Critical Thinking Ethical AI and Bias Auditing</w:t>
      </w:r>
    </w:p>
    <w:p w14:paraId="42C72B88" w14:textId="77777777" w:rsidR="00E00B43" w:rsidRDefault="00000000">
      <w:pPr>
        <w:pStyle w:val="Heading2"/>
      </w:pPr>
      <w:r>
        <w:t>Model Explanations</w:t>
      </w:r>
    </w:p>
    <w:p w14:paraId="6DDDD1ED" w14:textId="77777777" w:rsidR="00E00B43" w:rsidRDefault="00000000">
      <w:r>
        <w:rPr>
          <w:rFonts w:eastAsia="Arial"/>
        </w:rPr>
        <w:t>Permutation importance, aggregate approximate interventional SHAP values, synthetic SHAP and LIME local explanations, and dependence curves across synthetic reference profiles provide complementary views of the fitted model without publishing patient-level explanation records. Prior-session nadir SBP and prior IDH rate were the strongest permutation features. Explanation outputs describe learned associations; they do not identify safe treatment targets or causal mechanisms. [5-7]</w:t>
      </w:r>
    </w:p>
    <w:p w14:paraId="71CB62E9" w14:textId="77777777" w:rsidR="00E00B43" w:rsidRDefault="00000000">
      <w:pPr>
        <w:keepNext/>
        <w:spacing w:before="80" w:after="60"/>
        <w:jc w:val="center"/>
      </w:pPr>
      <w:r>
        <w:rPr>
          <w:noProof/>
        </w:rPr>
        <w:drawing>
          <wp:inline distT="0" distB="0" distL="0" distR="0" wp14:anchorId="55273C62" wp14:editId="5D4459B6">
            <wp:extent cx="5577840" cy="3849936"/>
            <wp:effectExtent l="0" t="0" r="0" b="0"/>
            <wp:docPr id="10" name="Picture 10" descr="Aggregate SHAP bar chart showing mean absolute feature contrib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5_shap_summary.png"/>
                    <pic:cNvPicPr/>
                  </pic:nvPicPr>
                  <pic:blipFill>
                    <a:blip r:embed="rId17"/>
                    <a:stretch>
                      <a:fillRect/>
                    </a:stretch>
                  </pic:blipFill>
                  <pic:spPr>
                    <a:xfrm>
                      <a:off x="0" y="0"/>
                      <a:ext cx="5577840" cy="3849936"/>
                    </a:xfrm>
                    <a:prstGeom prst="rect">
                      <a:avLst/>
                    </a:prstGeom>
                  </pic:spPr>
                </pic:pic>
              </a:graphicData>
            </a:graphic>
          </wp:inline>
        </w:drawing>
      </w:r>
    </w:p>
    <w:p w14:paraId="229E818D" w14:textId="77777777" w:rsidR="00E00B43" w:rsidRDefault="00000000">
      <w:pPr>
        <w:pStyle w:val="Caption"/>
        <w:keepLines/>
        <w:spacing w:after="140"/>
        <w:jc w:val="center"/>
      </w:pPr>
      <w:r>
        <w:rPr>
          <w:rFonts w:eastAsia="Arial"/>
        </w:rPr>
        <w:t>Figure 10. Aggregate approximate interventional SHAP importance for the locked model.</w:t>
      </w:r>
    </w:p>
    <w:p w14:paraId="35DCD045" w14:textId="77777777" w:rsidR="00E00B43" w:rsidRDefault="00000000">
      <w:pPr>
        <w:keepNext/>
        <w:spacing w:before="80" w:after="60"/>
        <w:jc w:val="center"/>
      </w:pPr>
      <w:r>
        <w:rPr>
          <w:noProof/>
        </w:rPr>
        <w:drawing>
          <wp:inline distT="0" distB="0" distL="0" distR="0" wp14:anchorId="22327A5A" wp14:editId="058CA35E">
            <wp:extent cx="5989320" cy="2044915"/>
            <wp:effectExtent l="0" t="0" r="0" b="0"/>
            <wp:docPr id="11" name="Picture 11" descr="Dependence and conditional-effect curves for key predictors using synthetic reference pro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5_pdp_ice.png"/>
                    <pic:cNvPicPr/>
                  </pic:nvPicPr>
                  <pic:blipFill>
                    <a:blip r:embed="rId18"/>
                    <a:stretch>
                      <a:fillRect/>
                    </a:stretch>
                  </pic:blipFill>
                  <pic:spPr>
                    <a:xfrm>
                      <a:off x="0" y="0"/>
                      <a:ext cx="5989320" cy="2044915"/>
                    </a:xfrm>
                    <a:prstGeom prst="rect">
                      <a:avLst/>
                    </a:prstGeom>
                  </pic:spPr>
                </pic:pic>
              </a:graphicData>
            </a:graphic>
          </wp:inline>
        </w:drawing>
      </w:r>
    </w:p>
    <w:p w14:paraId="732EBCEE" w14:textId="77777777" w:rsidR="00E00B43" w:rsidRDefault="00000000">
      <w:pPr>
        <w:pStyle w:val="Caption"/>
        <w:keepLines/>
        <w:spacing w:after="140"/>
        <w:jc w:val="center"/>
      </w:pPr>
      <w:r>
        <w:rPr>
          <w:rFonts w:eastAsia="Arial"/>
        </w:rPr>
        <w:t>Figure 11. Dependence and conditional-effect patterns across synthetic reference profiles.</w:t>
      </w:r>
    </w:p>
    <w:p w14:paraId="6312FCCE" w14:textId="77777777" w:rsidR="00E00B43" w:rsidRDefault="00000000">
      <w:pPr>
        <w:pStyle w:val="Heading2"/>
      </w:pPr>
      <w:r>
        <w:t>Limitations and Robustness</w:t>
      </w:r>
    </w:p>
    <w:tbl>
      <w:tblPr>
        <w:tblW w:w="0" w:type="auto"/>
        <w:jc w:val="center"/>
        <w:tblLayout w:type="fixed"/>
        <w:tblLook w:val="04A0" w:firstRow="1" w:lastRow="0" w:firstColumn="1" w:lastColumn="0" w:noHBand="0" w:noVBand="1"/>
      </w:tblPr>
      <w:tblGrid>
        <w:gridCol w:w="1800"/>
        <w:gridCol w:w="3384"/>
        <w:gridCol w:w="4464"/>
      </w:tblGrid>
      <w:tr w:rsidR="00E00B43" w14:paraId="611F61F2" w14:textId="77777777">
        <w:trPr>
          <w:tblHeader/>
          <w:jc w:val="center"/>
        </w:trPr>
        <w:tc>
          <w:tcPr>
            <w:tcW w:w="1800" w:type="dxa"/>
            <w:tcBorders>
              <w:top w:val="single" w:sz="6" w:space="0" w:color="D9D9D9"/>
              <w:left w:val="single" w:sz="6" w:space="0" w:color="D9D9D9"/>
              <w:bottom w:val="single" w:sz="6" w:space="0" w:color="D9D9D9"/>
              <w:right w:val="single" w:sz="6" w:space="0" w:color="D9D9D9"/>
            </w:tcBorders>
            <w:shd w:val="clear" w:color="auto" w:fill="0B5C8E"/>
            <w:tcMar>
              <w:top w:w="90" w:type="dxa"/>
              <w:left w:w="100" w:type="dxa"/>
              <w:bottom w:w="90" w:type="dxa"/>
              <w:right w:w="100" w:type="dxa"/>
            </w:tcMar>
            <w:vAlign w:val="center"/>
          </w:tcPr>
          <w:p w14:paraId="6A795EE6" w14:textId="77777777" w:rsidR="00E00B43" w:rsidRDefault="00000000">
            <w:pPr>
              <w:jc w:val="center"/>
            </w:pPr>
            <w:r>
              <w:rPr>
                <w:rFonts w:eastAsia="Arial"/>
                <w:b/>
                <w:color w:val="FFFFFF"/>
                <w:sz w:val="16"/>
              </w:rPr>
              <w:t>Risk</w:t>
            </w:r>
          </w:p>
        </w:tc>
        <w:tc>
          <w:tcPr>
            <w:tcW w:w="3384" w:type="dxa"/>
            <w:tcBorders>
              <w:top w:val="single" w:sz="6" w:space="0" w:color="D9D9D9"/>
              <w:left w:val="single" w:sz="6" w:space="0" w:color="D9D9D9"/>
              <w:bottom w:val="single" w:sz="6" w:space="0" w:color="D9D9D9"/>
              <w:right w:val="single" w:sz="6" w:space="0" w:color="D9D9D9"/>
            </w:tcBorders>
            <w:shd w:val="clear" w:color="auto" w:fill="0B5C8E"/>
            <w:tcMar>
              <w:top w:w="90" w:type="dxa"/>
              <w:left w:w="100" w:type="dxa"/>
              <w:bottom w:w="90" w:type="dxa"/>
              <w:right w:w="100" w:type="dxa"/>
            </w:tcMar>
            <w:vAlign w:val="center"/>
          </w:tcPr>
          <w:p w14:paraId="4D3A8541" w14:textId="77777777" w:rsidR="00E00B43" w:rsidRDefault="00000000">
            <w:pPr>
              <w:jc w:val="center"/>
            </w:pPr>
            <w:r>
              <w:rPr>
                <w:rFonts w:eastAsia="Arial"/>
                <w:b/>
                <w:color w:val="FFFFFF"/>
                <w:sz w:val="16"/>
              </w:rPr>
              <w:t>Evidence</w:t>
            </w:r>
          </w:p>
        </w:tc>
        <w:tc>
          <w:tcPr>
            <w:tcW w:w="4464" w:type="dxa"/>
            <w:tcBorders>
              <w:top w:val="single" w:sz="6" w:space="0" w:color="D9D9D9"/>
              <w:left w:val="single" w:sz="6" w:space="0" w:color="D9D9D9"/>
              <w:bottom w:val="single" w:sz="6" w:space="0" w:color="D9D9D9"/>
              <w:right w:val="single" w:sz="6" w:space="0" w:color="D9D9D9"/>
            </w:tcBorders>
            <w:shd w:val="clear" w:color="auto" w:fill="0B5C8E"/>
            <w:tcMar>
              <w:top w:w="90" w:type="dxa"/>
              <w:left w:w="100" w:type="dxa"/>
              <w:bottom w:w="90" w:type="dxa"/>
              <w:right w:w="100" w:type="dxa"/>
            </w:tcMar>
            <w:vAlign w:val="center"/>
          </w:tcPr>
          <w:p w14:paraId="5916F770" w14:textId="77777777" w:rsidR="00E00B43" w:rsidRDefault="00000000">
            <w:pPr>
              <w:jc w:val="center"/>
            </w:pPr>
            <w:r>
              <w:rPr>
                <w:rFonts w:eastAsia="Arial"/>
                <w:b/>
                <w:color w:val="FFFFFF"/>
                <w:sz w:val="16"/>
              </w:rPr>
              <w:t>Response</w:t>
            </w:r>
          </w:p>
        </w:tc>
      </w:tr>
      <w:tr w:rsidR="00E00B43" w14:paraId="2D029DAF" w14:textId="77777777">
        <w:trPr>
          <w:cantSplit/>
          <w:jc w:val="center"/>
        </w:trPr>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0BFD6E17" w14:textId="77777777" w:rsidR="00E00B43" w:rsidRDefault="00000000">
            <w:r>
              <w:rPr>
                <w:rFonts w:eastAsia="Arial"/>
                <w:sz w:val="16"/>
              </w:rPr>
              <w:lastRenderedPageBreak/>
              <w:t>Class imbalance</w:t>
            </w:r>
          </w:p>
        </w:tc>
        <w:tc>
          <w:tcPr>
            <w:tcW w:w="3384"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14750E6C" w14:textId="77777777" w:rsidR="00E00B43" w:rsidRDefault="00000000">
            <w:r>
              <w:rPr>
                <w:rFonts w:eastAsia="Arial"/>
                <w:sz w:val="16"/>
              </w:rPr>
              <w:t>Test prevalence is 8.49%</w:t>
            </w:r>
          </w:p>
        </w:tc>
        <w:tc>
          <w:tcPr>
            <w:tcW w:w="4464"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69B70333" w14:textId="77777777" w:rsidR="00E00B43" w:rsidRDefault="00000000">
            <w:r>
              <w:rPr>
                <w:rFonts w:eastAsia="Arial"/>
                <w:sz w:val="16"/>
              </w:rPr>
              <w:t>Use average precision, precision, sensitivity, calibration, and workload rather than accuracy alone</w:t>
            </w:r>
          </w:p>
        </w:tc>
      </w:tr>
      <w:tr w:rsidR="00E00B43" w14:paraId="74067465" w14:textId="77777777">
        <w:trPr>
          <w:cantSplit/>
          <w:jc w:val="center"/>
        </w:trPr>
        <w:tc>
          <w:tcPr>
            <w:tcW w:w="1800"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58681A77" w14:textId="77777777" w:rsidR="00E00B43" w:rsidRDefault="00000000">
            <w:r>
              <w:rPr>
                <w:rFonts w:eastAsia="Arial"/>
                <w:sz w:val="16"/>
              </w:rPr>
              <w:t>Patient leakage</w:t>
            </w:r>
          </w:p>
        </w:tc>
        <w:tc>
          <w:tcPr>
            <w:tcW w:w="3384"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2CCC238B" w14:textId="77777777" w:rsidR="00E00B43" w:rsidRDefault="00000000">
            <w:r>
              <w:rPr>
                <w:rFonts w:eastAsia="Arial"/>
                <w:sz w:val="16"/>
              </w:rPr>
              <w:t>No patient overlaps training, validation, and test</w:t>
            </w:r>
          </w:p>
        </w:tc>
        <w:tc>
          <w:tcPr>
            <w:tcW w:w="4464"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2E7C5CF2" w14:textId="77777777" w:rsidR="00E00B43" w:rsidRDefault="00000000">
            <w:r>
              <w:rPr>
                <w:rFonts w:eastAsia="Arial"/>
                <w:sz w:val="16"/>
              </w:rPr>
              <w:t>Retain grouped splitting in every future evaluation</w:t>
            </w:r>
          </w:p>
        </w:tc>
      </w:tr>
      <w:tr w:rsidR="00E00B43" w14:paraId="38EE11FE" w14:textId="77777777">
        <w:trPr>
          <w:cantSplit/>
          <w:jc w:val="center"/>
        </w:trPr>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36AC47A5" w14:textId="77777777" w:rsidR="00E00B43" w:rsidRDefault="00000000">
            <w:r>
              <w:rPr>
                <w:rFonts w:eastAsia="Arial"/>
                <w:sz w:val="16"/>
              </w:rPr>
              <w:t>Temporal leakage</w:t>
            </w:r>
          </w:p>
        </w:tc>
        <w:tc>
          <w:tcPr>
            <w:tcW w:w="3384"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0A454FA6" w14:textId="77777777" w:rsidR="00E00B43" w:rsidRDefault="00000000">
            <w:r>
              <w:rPr>
                <w:rFonts w:eastAsia="Arial"/>
                <w:sz w:val="16"/>
              </w:rPr>
              <w:t>Outcomes occur after the index time; history is shifted</w:t>
            </w:r>
          </w:p>
        </w:tc>
        <w:tc>
          <w:tcPr>
            <w:tcW w:w="4464"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200D4A74" w14:textId="77777777" w:rsidR="00E00B43" w:rsidRDefault="00000000">
            <w:r>
              <w:rPr>
                <w:rFonts w:eastAsia="Arial"/>
                <w:sz w:val="16"/>
              </w:rPr>
              <w:t>Preserve the feature timestamp contract in production</w:t>
            </w:r>
          </w:p>
        </w:tc>
      </w:tr>
      <w:tr w:rsidR="00E00B43" w14:paraId="09242A95" w14:textId="77777777">
        <w:trPr>
          <w:cantSplit/>
          <w:jc w:val="center"/>
        </w:trPr>
        <w:tc>
          <w:tcPr>
            <w:tcW w:w="1800"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20350C8D" w14:textId="77777777" w:rsidR="00E00B43" w:rsidRDefault="00000000">
            <w:r>
              <w:rPr>
                <w:rFonts w:eastAsia="Arial"/>
                <w:sz w:val="16"/>
              </w:rPr>
              <w:t>Optimism</w:t>
            </w:r>
          </w:p>
        </w:tc>
        <w:tc>
          <w:tcPr>
            <w:tcW w:w="3384"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2E2F3771" w14:textId="77777777" w:rsidR="00E00B43" w:rsidRDefault="00000000">
            <w:r>
              <w:rPr>
                <w:rFonts w:eastAsia="Arial"/>
                <w:sz w:val="16"/>
              </w:rPr>
              <w:t>Grouped-CV AP 0.440, validation AP 0.470, test AP 0.395</w:t>
            </w:r>
          </w:p>
        </w:tc>
        <w:tc>
          <w:tcPr>
            <w:tcW w:w="4464"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646EC90F" w14:textId="77777777" w:rsidR="00E00B43" w:rsidRDefault="00000000">
            <w:r>
              <w:rPr>
                <w:rFonts w:eastAsia="Arial"/>
                <w:sz w:val="16"/>
              </w:rPr>
              <w:t>Report patient-bootstrap uncertainty and require external validation</w:t>
            </w:r>
          </w:p>
        </w:tc>
      </w:tr>
      <w:tr w:rsidR="00E00B43" w14:paraId="3C4AC7A1" w14:textId="77777777">
        <w:trPr>
          <w:cantSplit/>
          <w:jc w:val="center"/>
        </w:trPr>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4B823958" w14:textId="77777777" w:rsidR="00E00B43" w:rsidRDefault="00000000">
            <w:r>
              <w:rPr>
                <w:rFonts w:eastAsia="Arial"/>
                <w:sz w:val="16"/>
              </w:rPr>
              <w:t>Repeated sessions</w:t>
            </w:r>
          </w:p>
        </w:tc>
        <w:tc>
          <w:tcPr>
            <w:tcW w:w="3384"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5DDECD0B" w14:textId="77777777" w:rsidR="00E00B43" w:rsidRDefault="00000000">
            <w:r>
              <w:rPr>
                <w:rFonts w:eastAsia="Arial"/>
                <w:sz w:val="16"/>
              </w:rPr>
              <w:t>21,354 test sessions come from 170 patients</w:t>
            </w:r>
          </w:p>
        </w:tc>
        <w:tc>
          <w:tcPr>
            <w:tcW w:w="4464"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476D044D" w14:textId="77777777" w:rsidR="00E00B43" w:rsidRDefault="00000000">
            <w:r>
              <w:rPr>
                <w:rFonts w:eastAsia="Arial"/>
                <w:sz w:val="16"/>
              </w:rPr>
              <w:t>Use patient-cluster bootstrap and patient-equal-weight sensitivity analyses</w:t>
            </w:r>
          </w:p>
        </w:tc>
      </w:tr>
      <w:tr w:rsidR="00E00B43" w14:paraId="408D77CF" w14:textId="77777777">
        <w:trPr>
          <w:cantSplit/>
          <w:jc w:val="center"/>
        </w:trPr>
        <w:tc>
          <w:tcPr>
            <w:tcW w:w="1800"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1BD9342C" w14:textId="77777777" w:rsidR="00E00B43" w:rsidRDefault="00000000">
            <w:r>
              <w:rPr>
                <w:rFonts w:eastAsia="Arial"/>
                <w:sz w:val="16"/>
              </w:rPr>
              <w:t>Outcome validity</w:t>
            </w:r>
          </w:p>
        </w:tc>
        <w:tc>
          <w:tcPr>
            <w:tcW w:w="3384"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76B336CD" w14:textId="77777777" w:rsidR="00E00B43" w:rsidRDefault="00000000">
            <w:r>
              <w:rPr>
                <w:rFonts w:eastAsia="Arial"/>
                <w:sz w:val="16"/>
              </w:rPr>
              <w:t>Symptoms and interventions are unavailable</w:t>
            </w:r>
          </w:p>
        </w:tc>
        <w:tc>
          <w:tcPr>
            <w:tcW w:w="4464"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544A46DD" w14:textId="77777777" w:rsidR="00E00B43" w:rsidRDefault="00000000">
            <w:r>
              <w:rPr>
                <w:rFonts w:eastAsia="Arial"/>
                <w:sz w:val="16"/>
              </w:rPr>
              <w:t>Describe the endpoint as BP-defined IDH</w:t>
            </w:r>
          </w:p>
        </w:tc>
      </w:tr>
    </w:tbl>
    <w:p w14:paraId="0E3A0CC8" w14:textId="77777777" w:rsidR="00E00B43" w:rsidRDefault="00E00B43">
      <w:pPr>
        <w:spacing w:after="20"/>
      </w:pPr>
    </w:p>
    <w:p w14:paraId="6408FA32" w14:textId="77777777" w:rsidR="00E00B43" w:rsidRDefault="00000000">
      <w:pPr>
        <w:pStyle w:val="Heading2"/>
      </w:pPr>
      <w:r>
        <w:t>Fairness Audit</w:t>
      </w:r>
    </w:p>
    <w:tbl>
      <w:tblPr>
        <w:tblW w:w="0" w:type="auto"/>
        <w:jc w:val="center"/>
        <w:tblLayout w:type="fixed"/>
        <w:tblLook w:val="04A0" w:firstRow="1" w:lastRow="0" w:firstColumn="1" w:lastColumn="0" w:noHBand="0" w:noVBand="1"/>
      </w:tblPr>
      <w:tblGrid>
        <w:gridCol w:w="2088"/>
        <w:gridCol w:w="2232"/>
        <w:gridCol w:w="1800"/>
        <w:gridCol w:w="1656"/>
        <w:gridCol w:w="1872"/>
      </w:tblGrid>
      <w:tr w:rsidR="00E00B43" w14:paraId="2BE6D6D7" w14:textId="77777777">
        <w:trPr>
          <w:tblHeader/>
          <w:jc w:val="center"/>
        </w:trPr>
        <w:tc>
          <w:tcPr>
            <w:tcW w:w="2088" w:type="dxa"/>
            <w:tcBorders>
              <w:top w:val="single" w:sz="6" w:space="0" w:color="D9D9D9"/>
              <w:left w:val="single" w:sz="6" w:space="0" w:color="D9D9D9"/>
              <w:bottom w:val="single" w:sz="6" w:space="0" w:color="D9D9D9"/>
              <w:right w:val="single" w:sz="6" w:space="0" w:color="D9D9D9"/>
            </w:tcBorders>
            <w:shd w:val="clear" w:color="auto" w:fill="0B5C8E"/>
            <w:tcMar>
              <w:top w:w="90" w:type="dxa"/>
              <w:left w:w="100" w:type="dxa"/>
              <w:bottom w:w="90" w:type="dxa"/>
              <w:right w:w="100" w:type="dxa"/>
            </w:tcMar>
            <w:vAlign w:val="center"/>
          </w:tcPr>
          <w:p w14:paraId="47732A14" w14:textId="77777777" w:rsidR="00E00B43" w:rsidRDefault="00000000">
            <w:pPr>
              <w:jc w:val="center"/>
            </w:pPr>
            <w:r>
              <w:rPr>
                <w:rFonts w:eastAsia="Arial"/>
                <w:b/>
                <w:color w:val="FFFFFF"/>
                <w:sz w:val="16"/>
              </w:rPr>
              <w:t>Attribute</w:t>
            </w:r>
          </w:p>
        </w:tc>
        <w:tc>
          <w:tcPr>
            <w:tcW w:w="2232" w:type="dxa"/>
            <w:tcBorders>
              <w:top w:val="single" w:sz="6" w:space="0" w:color="D9D9D9"/>
              <w:left w:val="single" w:sz="6" w:space="0" w:color="D9D9D9"/>
              <w:bottom w:val="single" w:sz="6" w:space="0" w:color="D9D9D9"/>
              <w:right w:val="single" w:sz="6" w:space="0" w:color="D9D9D9"/>
            </w:tcBorders>
            <w:shd w:val="clear" w:color="auto" w:fill="0B5C8E"/>
            <w:tcMar>
              <w:top w:w="90" w:type="dxa"/>
              <w:left w:w="100" w:type="dxa"/>
              <w:bottom w:w="90" w:type="dxa"/>
              <w:right w:w="100" w:type="dxa"/>
            </w:tcMar>
            <w:vAlign w:val="center"/>
          </w:tcPr>
          <w:p w14:paraId="282219E8" w14:textId="77777777" w:rsidR="00E00B43" w:rsidRDefault="00000000">
            <w:pPr>
              <w:jc w:val="center"/>
            </w:pPr>
            <w:r>
              <w:rPr>
                <w:rFonts w:eastAsia="Arial"/>
                <w:b/>
                <w:color w:val="FFFFFF"/>
                <w:sz w:val="16"/>
              </w:rPr>
              <w:t>Disparate impact ratio</w:t>
            </w:r>
          </w:p>
        </w:tc>
        <w:tc>
          <w:tcPr>
            <w:tcW w:w="1800" w:type="dxa"/>
            <w:tcBorders>
              <w:top w:val="single" w:sz="6" w:space="0" w:color="D9D9D9"/>
              <w:left w:val="single" w:sz="6" w:space="0" w:color="D9D9D9"/>
              <w:bottom w:val="single" w:sz="6" w:space="0" w:color="D9D9D9"/>
              <w:right w:val="single" w:sz="6" w:space="0" w:color="D9D9D9"/>
            </w:tcBorders>
            <w:shd w:val="clear" w:color="auto" w:fill="0B5C8E"/>
            <w:tcMar>
              <w:top w:w="90" w:type="dxa"/>
              <w:left w:w="100" w:type="dxa"/>
              <w:bottom w:w="90" w:type="dxa"/>
              <w:right w:w="100" w:type="dxa"/>
            </w:tcMar>
            <w:vAlign w:val="center"/>
          </w:tcPr>
          <w:p w14:paraId="3F48AE8D" w14:textId="77777777" w:rsidR="00E00B43" w:rsidRDefault="00000000">
            <w:pPr>
              <w:jc w:val="center"/>
            </w:pPr>
            <w:r>
              <w:rPr>
                <w:rFonts w:eastAsia="Arial"/>
                <w:b/>
                <w:color w:val="FFFFFF"/>
                <w:sz w:val="16"/>
              </w:rPr>
              <w:t>Sensitivity gap</w:t>
            </w:r>
          </w:p>
        </w:tc>
        <w:tc>
          <w:tcPr>
            <w:tcW w:w="1656" w:type="dxa"/>
            <w:tcBorders>
              <w:top w:val="single" w:sz="6" w:space="0" w:color="D9D9D9"/>
              <w:left w:val="single" w:sz="6" w:space="0" w:color="D9D9D9"/>
              <w:bottom w:val="single" w:sz="6" w:space="0" w:color="D9D9D9"/>
              <w:right w:val="single" w:sz="6" w:space="0" w:color="D9D9D9"/>
            </w:tcBorders>
            <w:shd w:val="clear" w:color="auto" w:fill="0B5C8E"/>
            <w:tcMar>
              <w:top w:w="90" w:type="dxa"/>
              <w:left w:w="100" w:type="dxa"/>
              <w:bottom w:w="90" w:type="dxa"/>
              <w:right w:w="100" w:type="dxa"/>
            </w:tcMar>
            <w:vAlign w:val="center"/>
          </w:tcPr>
          <w:p w14:paraId="625D25D2" w14:textId="77777777" w:rsidR="00E00B43" w:rsidRDefault="00000000">
            <w:pPr>
              <w:jc w:val="center"/>
            </w:pPr>
            <w:r>
              <w:rPr>
                <w:rFonts w:eastAsia="Arial"/>
                <w:b/>
                <w:color w:val="FFFFFF"/>
                <w:sz w:val="16"/>
              </w:rPr>
              <w:t>FPR gap</w:t>
            </w:r>
          </w:p>
        </w:tc>
        <w:tc>
          <w:tcPr>
            <w:tcW w:w="1872" w:type="dxa"/>
            <w:tcBorders>
              <w:top w:val="single" w:sz="6" w:space="0" w:color="D9D9D9"/>
              <w:left w:val="single" w:sz="6" w:space="0" w:color="D9D9D9"/>
              <w:bottom w:val="single" w:sz="6" w:space="0" w:color="D9D9D9"/>
              <w:right w:val="single" w:sz="6" w:space="0" w:color="D9D9D9"/>
            </w:tcBorders>
            <w:shd w:val="clear" w:color="auto" w:fill="0B5C8E"/>
            <w:tcMar>
              <w:top w:w="90" w:type="dxa"/>
              <w:left w:w="100" w:type="dxa"/>
              <w:bottom w:w="90" w:type="dxa"/>
              <w:right w:w="100" w:type="dxa"/>
            </w:tcMar>
            <w:vAlign w:val="center"/>
          </w:tcPr>
          <w:p w14:paraId="2A80D7E3" w14:textId="77777777" w:rsidR="00E00B43" w:rsidRDefault="00000000">
            <w:pPr>
              <w:jc w:val="center"/>
            </w:pPr>
            <w:r>
              <w:rPr>
                <w:rFonts w:eastAsia="Arial"/>
                <w:b/>
                <w:color w:val="FFFFFF"/>
                <w:sz w:val="16"/>
              </w:rPr>
              <w:t>Brier gap</w:t>
            </w:r>
          </w:p>
        </w:tc>
      </w:tr>
      <w:tr w:rsidR="00E00B43" w14:paraId="242D79D1" w14:textId="77777777">
        <w:trPr>
          <w:cantSplit/>
          <w:jc w:val="center"/>
        </w:trPr>
        <w:tc>
          <w:tcPr>
            <w:tcW w:w="2088"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51CCB27F" w14:textId="77777777" w:rsidR="00E00B43" w:rsidRDefault="00000000">
            <w:r>
              <w:rPr>
                <w:rFonts w:eastAsia="Arial"/>
                <w:sz w:val="16"/>
              </w:rPr>
              <w:t>Recorded sex</w:t>
            </w:r>
          </w:p>
        </w:tc>
        <w:tc>
          <w:tcPr>
            <w:tcW w:w="2232"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34E89B69" w14:textId="77777777" w:rsidR="00E00B43" w:rsidRDefault="00000000">
            <w:pPr>
              <w:jc w:val="center"/>
            </w:pPr>
            <w:r>
              <w:rPr>
                <w:rFonts w:eastAsia="Arial"/>
                <w:sz w:val="16"/>
              </w:rPr>
              <w:t>0.705</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5A9EECDA" w14:textId="77777777" w:rsidR="00E00B43" w:rsidRDefault="00000000">
            <w:pPr>
              <w:jc w:val="center"/>
            </w:pPr>
            <w:r>
              <w:rPr>
                <w:rFonts w:eastAsia="Arial"/>
                <w:sz w:val="16"/>
              </w:rPr>
              <w:t>0.076</w:t>
            </w:r>
          </w:p>
        </w:tc>
        <w:tc>
          <w:tcPr>
            <w:tcW w:w="1656"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1DF13BA4" w14:textId="77777777" w:rsidR="00E00B43" w:rsidRDefault="00000000">
            <w:pPr>
              <w:jc w:val="center"/>
            </w:pPr>
            <w:r>
              <w:rPr>
                <w:rFonts w:eastAsia="Arial"/>
                <w:sz w:val="16"/>
              </w:rPr>
              <w:t>0.049</w:t>
            </w:r>
          </w:p>
        </w:tc>
        <w:tc>
          <w:tcPr>
            <w:tcW w:w="1872"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4A89D141" w14:textId="77777777" w:rsidR="00E00B43" w:rsidRDefault="00000000">
            <w:pPr>
              <w:jc w:val="center"/>
            </w:pPr>
            <w:r>
              <w:rPr>
                <w:rFonts w:eastAsia="Arial"/>
                <w:sz w:val="16"/>
              </w:rPr>
              <w:t>0.014</w:t>
            </w:r>
          </w:p>
        </w:tc>
      </w:tr>
      <w:tr w:rsidR="00E00B43" w14:paraId="2DF0F1EB" w14:textId="77777777">
        <w:trPr>
          <w:cantSplit/>
          <w:jc w:val="center"/>
        </w:trPr>
        <w:tc>
          <w:tcPr>
            <w:tcW w:w="2088"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7FA6FA2C" w14:textId="77777777" w:rsidR="00E00B43" w:rsidRDefault="00000000">
            <w:r>
              <w:rPr>
                <w:rFonts w:eastAsia="Arial"/>
                <w:sz w:val="16"/>
              </w:rPr>
              <w:t>Age group</w:t>
            </w:r>
          </w:p>
        </w:tc>
        <w:tc>
          <w:tcPr>
            <w:tcW w:w="2232"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43D8737A" w14:textId="77777777" w:rsidR="00E00B43" w:rsidRDefault="00000000">
            <w:pPr>
              <w:jc w:val="center"/>
            </w:pPr>
            <w:r>
              <w:rPr>
                <w:rFonts w:eastAsia="Arial"/>
                <w:sz w:val="16"/>
              </w:rPr>
              <w:t>0.541</w:t>
            </w:r>
          </w:p>
        </w:tc>
        <w:tc>
          <w:tcPr>
            <w:tcW w:w="1800"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61D2F525" w14:textId="77777777" w:rsidR="00E00B43" w:rsidRDefault="00000000">
            <w:pPr>
              <w:jc w:val="center"/>
            </w:pPr>
            <w:r>
              <w:rPr>
                <w:rFonts w:eastAsia="Arial"/>
                <w:sz w:val="16"/>
              </w:rPr>
              <w:t>0.105</w:t>
            </w:r>
          </w:p>
        </w:tc>
        <w:tc>
          <w:tcPr>
            <w:tcW w:w="1656"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751386DF" w14:textId="77777777" w:rsidR="00E00B43" w:rsidRDefault="00000000">
            <w:pPr>
              <w:jc w:val="center"/>
            </w:pPr>
            <w:r>
              <w:rPr>
                <w:rFonts w:eastAsia="Arial"/>
                <w:sz w:val="16"/>
              </w:rPr>
              <w:t>0.094</w:t>
            </w:r>
          </w:p>
        </w:tc>
        <w:tc>
          <w:tcPr>
            <w:tcW w:w="1872"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092A1193" w14:textId="77777777" w:rsidR="00E00B43" w:rsidRDefault="00000000">
            <w:pPr>
              <w:jc w:val="center"/>
            </w:pPr>
            <w:r>
              <w:rPr>
                <w:rFonts w:eastAsia="Arial"/>
                <w:sz w:val="16"/>
              </w:rPr>
              <w:t>0.021</w:t>
            </w:r>
          </w:p>
        </w:tc>
      </w:tr>
      <w:tr w:rsidR="00E00B43" w14:paraId="158211EB" w14:textId="77777777">
        <w:trPr>
          <w:cantSplit/>
          <w:jc w:val="center"/>
        </w:trPr>
        <w:tc>
          <w:tcPr>
            <w:tcW w:w="2088"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0F7DA315" w14:textId="77777777" w:rsidR="00E00B43" w:rsidRDefault="00000000">
            <w:r>
              <w:rPr>
                <w:rFonts w:eastAsia="Arial"/>
                <w:sz w:val="16"/>
              </w:rPr>
              <w:t>Diabetes status</w:t>
            </w:r>
          </w:p>
        </w:tc>
        <w:tc>
          <w:tcPr>
            <w:tcW w:w="2232"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61E626E2" w14:textId="77777777" w:rsidR="00E00B43" w:rsidRDefault="00000000">
            <w:pPr>
              <w:jc w:val="center"/>
            </w:pPr>
            <w:r>
              <w:rPr>
                <w:rFonts w:eastAsia="Arial"/>
                <w:sz w:val="16"/>
              </w:rPr>
              <w:t>0.988</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556E862A" w14:textId="77777777" w:rsidR="00E00B43" w:rsidRDefault="00000000">
            <w:pPr>
              <w:jc w:val="center"/>
            </w:pPr>
            <w:r>
              <w:rPr>
                <w:rFonts w:eastAsia="Arial"/>
                <w:sz w:val="16"/>
              </w:rPr>
              <w:t>0.110</w:t>
            </w:r>
          </w:p>
        </w:tc>
        <w:tc>
          <w:tcPr>
            <w:tcW w:w="1656"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0C1DDFD7" w14:textId="77777777" w:rsidR="00E00B43" w:rsidRDefault="00000000">
            <w:pPr>
              <w:jc w:val="center"/>
            </w:pPr>
            <w:r>
              <w:rPr>
                <w:rFonts w:eastAsia="Arial"/>
                <w:sz w:val="16"/>
              </w:rPr>
              <w:t>0.010</w:t>
            </w:r>
          </w:p>
        </w:tc>
        <w:tc>
          <w:tcPr>
            <w:tcW w:w="1872"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7120E1C4" w14:textId="77777777" w:rsidR="00E00B43" w:rsidRDefault="00000000">
            <w:pPr>
              <w:jc w:val="center"/>
            </w:pPr>
            <w:r>
              <w:rPr>
                <w:rFonts w:eastAsia="Arial"/>
                <w:sz w:val="16"/>
              </w:rPr>
              <w:t>0.009</w:t>
            </w:r>
          </w:p>
        </w:tc>
      </w:tr>
    </w:tbl>
    <w:p w14:paraId="39F625A2" w14:textId="77777777" w:rsidR="00E00B43" w:rsidRDefault="00E00B43">
      <w:pPr>
        <w:spacing w:after="20"/>
      </w:pPr>
    </w:p>
    <w:p w14:paraId="330E99B6" w14:textId="77777777" w:rsidR="00E00B43" w:rsidRDefault="00000000">
      <w:r>
        <w:rPr>
          <w:rFonts w:eastAsia="Arial"/>
        </w:rPr>
        <w:t>Recorded sex and age are the only available protected-characteristic audits. Diabetes is a clinical subgroup and is not used as a socioeconomic proxy. Race, ethnicity, socioeconomic status, and gender identity are absent, so fairness across those groups cannot be assessed. The 0.80 disparate-impact ratio is treated as a descriptive screening heuristic, not a fairness certificate. [8]</w:t>
      </w:r>
    </w:p>
    <w:p w14:paraId="522B9722" w14:textId="77777777" w:rsidR="00E00B43" w:rsidRDefault="00000000">
      <w:pPr>
        <w:keepNext/>
        <w:spacing w:before="80" w:after="60"/>
        <w:jc w:val="center"/>
      </w:pPr>
      <w:r>
        <w:rPr>
          <w:noProof/>
        </w:rPr>
        <w:lastRenderedPageBreak/>
        <w:drawing>
          <wp:inline distT="0" distB="0" distL="0" distR="0" wp14:anchorId="7F640A5C" wp14:editId="3BEE7AFC">
            <wp:extent cx="5989320" cy="3059293"/>
            <wp:effectExtent l="0" t="0" r="0" b="0"/>
            <wp:docPr id="12" name="Picture 12" descr="Fairness overview showing selection, sensitivity, false-positive rate, and precision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5_fairness_overview.png"/>
                    <pic:cNvPicPr/>
                  </pic:nvPicPr>
                  <pic:blipFill>
                    <a:blip r:embed="rId19"/>
                    <a:stretch>
                      <a:fillRect/>
                    </a:stretch>
                  </pic:blipFill>
                  <pic:spPr>
                    <a:xfrm>
                      <a:off x="0" y="0"/>
                      <a:ext cx="5989320" cy="3059293"/>
                    </a:xfrm>
                    <a:prstGeom prst="rect">
                      <a:avLst/>
                    </a:prstGeom>
                  </pic:spPr>
                </pic:pic>
              </a:graphicData>
            </a:graphic>
          </wp:inline>
        </w:drawing>
      </w:r>
    </w:p>
    <w:p w14:paraId="6D51E025" w14:textId="77777777" w:rsidR="00E00B43" w:rsidRDefault="00000000">
      <w:pPr>
        <w:pStyle w:val="Caption"/>
        <w:keepLines/>
        <w:spacing w:after="140"/>
        <w:jc w:val="center"/>
      </w:pPr>
      <w:r>
        <w:rPr>
          <w:rFonts w:eastAsia="Arial"/>
        </w:rPr>
        <w:t>Figure 12. Selection and error metrics across available groups.</w:t>
      </w:r>
    </w:p>
    <w:p w14:paraId="7910E1C0" w14:textId="77777777" w:rsidR="00E00B43" w:rsidRDefault="00000000">
      <w:pPr>
        <w:pStyle w:val="Heading2"/>
      </w:pPr>
      <w:r>
        <w:t>Mitigation Experiments</w:t>
      </w:r>
    </w:p>
    <w:tbl>
      <w:tblPr>
        <w:tblW w:w="0" w:type="auto"/>
        <w:jc w:val="center"/>
        <w:tblLayout w:type="fixed"/>
        <w:tblLook w:val="04A0" w:firstRow="1" w:lastRow="0" w:firstColumn="1" w:lastColumn="0" w:noHBand="0" w:noVBand="1"/>
      </w:tblPr>
      <w:tblGrid>
        <w:gridCol w:w="2880"/>
        <w:gridCol w:w="1872"/>
        <w:gridCol w:w="1584"/>
        <w:gridCol w:w="1800"/>
        <w:gridCol w:w="1800"/>
      </w:tblGrid>
      <w:tr w:rsidR="00E00B43" w14:paraId="7EFD213E" w14:textId="77777777">
        <w:trPr>
          <w:tblHeader/>
          <w:jc w:val="center"/>
        </w:trPr>
        <w:tc>
          <w:tcPr>
            <w:tcW w:w="2880" w:type="dxa"/>
            <w:tcBorders>
              <w:top w:val="single" w:sz="6" w:space="0" w:color="D9D9D9"/>
              <w:left w:val="single" w:sz="6" w:space="0" w:color="D9D9D9"/>
              <w:bottom w:val="single" w:sz="6" w:space="0" w:color="D9D9D9"/>
              <w:right w:val="single" w:sz="6" w:space="0" w:color="D9D9D9"/>
            </w:tcBorders>
            <w:shd w:val="clear" w:color="auto" w:fill="0B5C8E"/>
            <w:tcMar>
              <w:top w:w="90" w:type="dxa"/>
              <w:left w:w="100" w:type="dxa"/>
              <w:bottom w:w="90" w:type="dxa"/>
              <w:right w:w="100" w:type="dxa"/>
            </w:tcMar>
            <w:vAlign w:val="center"/>
          </w:tcPr>
          <w:p w14:paraId="17B17BC3" w14:textId="77777777" w:rsidR="00E00B43" w:rsidRDefault="00000000">
            <w:pPr>
              <w:jc w:val="center"/>
            </w:pPr>
            <w:r>
              <w:rPr>
                <w:rFonts w:eastAsia="Arial"/>
                <w:b/>
                <w:color w:val="FFFFFF"/>
                <w:sz w:val="16"/>
              </w:rPr>
              <w:t>Strategy</w:t>
            </w:r>
          </w:p>
        </w:tc>
        <w:tc>
          <w:tcPr>
            <w:tcW w:w="1872" w:type="dxa"/>
            <w:tcBorders>
              <w:top w:val="single" w:sz="6" w:space="0" w:color="D9D9D9"/>
              <w:left w:val="single" w:sz="6" w:space="0" w:color="D9D9D9"/>
              <w:bottom w:val="single" w:sz="6" w:space="0" w:color="D9D9D9"/>
              <w:right w:val="single" w:sz="6" w:space="0" w:color="D9D9D9"/>
            </w:tcBorders>
            <w:shd w:val="clear" w:color="auto" w:fill="0B5C8E"/>
            <w:tcMar>
              <w:top w:w="90" w:type="dxa"/>
              <w:left w:w="100" w:type="dxa"/>
              <w:bottom w:w="90" w:type="dxa"/>
              <w:right w:w="100" w:type="dxa"/>
            </w:tcMar>
            <w:vAlign w:val="center"/>
          </w:tcPr>
          <w:p w14:paraId="0EE5A8CE" w14:textId="77777777" w:rsidR="00E00B43" w:rsidRDefault="00000000">
            <w:pPr>
              <w:jc w:val="center"/>
            </w:pPr>
            <w:r>
              <w:rPr>
                <w:rFonts w:eastAsia="Arial"/>
                <w:b/>
                <w:color w:val="FFFFFF"/>
                <w:sz w:val="16"/>
              </w:rPr>
              <w:t>Average precision</w:t>
            </w:r>
          </w:p>
        </w:tc>
        <w:tc>
          <w:tcPr>
            <w:tcW w:w="1584" w:type="dxa"/>
            <w:tcBorders>
              <w:top w:val="single" w:sz="6" w:space="0" w:color="D9D9D9"/>
              <w:left w:val="single" w:sz="6" w:space="0" w:color="D9D9D9"/>
              <w:bottom w:val="single" w:sz="6" w:space="0" w:color="D9D9D9"/>
              <w:right w:val="single" w:sz="6" w:space="0" w:color="D9D9D9"/>
            </w:tcBorders>
            <w:shd w:val="clear" w:color="auto" w:fill="0B5C8E"/>
            <w:tcMar>
              <w:top w:w="90" w:type="dxa"/>
              <w:left w:w="100" w:type="dxa"/>
              <w:bottom w:w="90" w:type="dxa"/>
              <w:right w:w="100" w:type="dxa"/>
            </w:tcMar>
            <w:vAlign w:val="center"/>
          </w:tcPr>
          <w:p w14:paraId="1B89ACD2" w14:textId="77777777" w:rsidR="00E00B43" w:rsidRDefault="00000000">
            <w:pPr>
              <w:jc w:val="center"/>
            </w:pPr>
            <w:r>
              <w:rPr>
                <w:rFonts w:eastAsia="Arial"/>
                <w:b/>
                <w:color w:val="FFFFFF"/>
                <w:sz w:val="16"/>
              </w:rPr>
              <w:t>Precision</w:t>
            </w:r>
          </w:p>
        </w:tc>
        <w:tc>
          <w:tcPr>
            <w:tcW w:w="1800" w:type="dxa"/>
            <w:tcBorders>
              <w:top w:val="single" w:sz="6" w:space="0" w:color="D9D9D9"/>
              <w:left w:val="single" w:sz="6" w:space="0" w:color="D9D9D9"/>
              <w:bottom w:val="single" w:sz="6" w:space="0" w:color="D9D9D9"/>
              <w:right w:val="single" w:sz="6" w:space="0" w:color="D9D9D9"/>
            </w:tcBorders>
            <w:shd w:val="clear" w:color="auto" w:fill="0B5C8E"/>
            <w:tcMar>
              <w:top w:w="90" w:type="dxa"/>
              <w:left w:w="100" w:type="dxa"/>
              <w:bottom w:w="90" w:type="dxa"/>
              <w:right w:w="100" w:type="dxa"/>
            </w:tcMar>
            <w:vAlign w:val="center"/>
          </w:tcPr>
          <w:p w14:paraId="0BB7C0CB" w14:textId="77777777" w:rsidR="00E00B43" w:rsidRDefault="00000000">
            <w:pPr>
              <w:jc w:val="center"/>
            </w:pPr>
            <w:r>
              <w:rPr>
                <w:rFonts w:eastAsia="Arial"/>
                <w:b/>
                <w:color w:val="FFFFFF"/>
                <w:sz w:val="16"/>
              </w:rPr>
              <w:t>Sex impact ratio</w:t>
            </w:r>
          </w:p>
        </w:tc>
        <w:tc>
          <w:tcPr>
            <w:tcW w:w="1800" w:type="dxa"/>
            <w:tcBorders>
              <w:top w:val="single" w:sz="6" w:space="0" w:color="D9D9D9"/>
              <w:left w:val="single" w:sz="6" w:space="0" w:color="D9D9D9"/>
              <w:bottom w:val="single" w:sz="6" w:space="0" w:color="D9D9D9"/>
              <w:right w:val="single" w:sz="6" w:space="0" w:color="D9D9D9"/>
            </w:tcBorders>
            <w:shd w:val="clear" w:color="auto" w:fill="0B5C8E"/>
            <w:tcMar>
              <w:top w:w="90" w:type="dxa"/>
              <w:left w:w="100" w:type="dxa"/>
              <w:bottom w:w="90" w:type="dxa"/>
              <w:right w:w="100" w:type="dxa"/>
            </w:tcMar>
            <w:vAlign w:val="center"/>
          </w:tcPr>
          <w:p w14:paraId="236BF0AF" w14:textId="77777777" w:rsidR="00E00B43" w:rsidRDefault="00000000">
            <w:pPr>
              <w:jc w:val="center"/>
            </w:pPr>
            <w:r>
              <w:rPr>
                <w:rFonts w:eastAsia="Arial"/>
                <w:b/>
                <w:color w:val="FFFFFF"/>
                <w:sz w:val="16"/>
              </w:rPr>
              <w:t>Equalized odds gap</w:t>
            </w:r>
          </w:p>
        </w:tc>
      </w:tr>
      <w:tr w:rsidR="00E00B43" w14:paraId="1A70772B" w14:textId="77777777">
        <w:trPr>
          <w:cantSplit/>
          <w:jc w:val="center"/>
        </w:trPr>
        <w:tc>
          <w:tcPr>
            <w:tcW w:w="2880"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4FF14627" w14:textId="77777777" w:rsidR="00E00B43" w:rsidRDefault="00000000">
            <w:r>
              <w:rPr>
                <w:rFonts w:eastAsia="Arial"/>
                <w:sz w:val="16"/>
              </w:rPr>
              <w:t>Original model</w:t>
            </w:r>
          </w:p>
        </w:tc>
        <w:tc>
          <w:tcPr>
            <w:tcW w:w="1872"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761D1EF4" w14:textId="77777777" w:rsidR="00E00B43" w:rsidRDefault="00000000">
            <w:pPr>
              <w:jc w:val="center"/>
            </w:pPr>
            <w:r>
              <w:rPr>
                <w:rFonts w:eastAsia="Arial"/>
                <w:sz w:val="16"/>
              </w:rPr>
              <w:t>0.395</w:t>
            </w:r>
          </w:p>
        </w:tc>
        <w:tc>
          <w:tcPr>
            <w:tcW w:w="1584"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56398035" w14:textId="77777777" w:rsidR="00E00B43" w:rsidRDefault="00000000">
            <w:pPr>
              <w:jc w:val="center"/>
            </w:pPr>
            <w:r>
              <w:rPr>
                <w:rFonts w:eastAsia="Arial"/>
                <w:sz w:val="16"/>
              </w:rPr>
              <w:t>0.306</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76F85DF9" w14:textId="77777777" w:rsidR="00E00B43" w:rsidRDefault="00000000">
            <w:pPr>
              <w:jc w:val="center"/>
            </w:pPr>
            <w:r>
              <w:rPr>
                <w:rFonts w:eastAsia="Arial"/>
                <w:sz w:val="16"/>
              </w:rPr>
              <w:t>0.705</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313A08CD" w14:textId="77777777" w:rsidR="00E00B43" w:rsidRDefault="00000000">
            <w:pPr>
              <w:jc w:val="center"/>
            </w:pPr>
            <w:r>
              <w:rPr>
                <w:rFonts w:eastAsia="Arial"/>
                <w:sz w:val="16"/>
              </w:rPr>
              <w:t>0.076</w:t>
            </w:r>
          </w:p>
        </w:tc>
      </w:tr>
      <w:tr w:rsidR="00E00B43" w14:paraId="3E587392" w14:textId="77777777">
        <w:trPr>
          <w:cantSplit/>
          <w:jc w:val="center"/>
        </w:trPr>
        <w:tc>
          <w:tcPr>
            <w:tcW w:w="2880"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6798662A" w14:textId="77777777" w:rsidR="00E00B43" w:rsidRDefault="00000000">
            <w:r>
              <w:rPr>
                <w:rFonts w:eastAsia="Arial"/>
                <w:sz w:val="16"/>
              </w:rPr>
              <w:t>Sex outcome reweighting</w:t>
            </w:r>
          </w:p>
        </w:tc>
        <w:tc>
          <w:tcPr>
            <w:tcW w:w="1872"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5C944647" w14:textId="77777777" w:rsidR="00E00B43" w:rsidRDefault="00000000">
            <w:pPr>
              <w:jc w:val="center"/>
            </w:pPr>
            <w:r>
              <w:rPr>
                <w:rFonts w:eastAsia="Arial"/>
                <w:sz w:val="16"/>
              </w:rPr>
              <w:t>0.394</w:t>
            </w:r>
          </w:p>
        </w:tc>
        <w:tc>
          <w:tcPr>
            <w:tcW w:w="1584"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3F58F6A6" w14:textId="77777777" w:rsidR="00E00B43" w:rsidRDefault="00000000">
            <w:pPr>
              <w:jc w:val="center"/>
            </w:pPr>
            <w:r>
              <w:rPr>
                <w:rFonts w:eastAsia="Arial"/>
                <w:sz w:val="16"/>
              </w:rPr>
              <w:t>0.309</w:t>
            </w:r>
          </w:p>
        </w:tc>
        <w:tc>
          <w:tcPr>
            <w:tcW w:w="1800"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52FB0483" w14:textId="77777777" w:rsidR="00E00B43" w:rsidRDefault="00000000">
            <w:pPr>
              <w:jc w:val="center"/>
            </w:pPr>
            <w:r>
              <w:rPr>
                <w:rFonts w:eastAsia="Arial"/>
                <w:sz w:val="16"/>
              </w:rPr>
              <w:t>0.764</w:t>
            </w:r>
          </w:p>
        </w:tc>
        <w:tc>
          <w:tcPr>
            <w:tcW w:w="1800"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02E8F700" w14:textId="77777777" w:rsidR="00E00B43" w:rsidRDefault="00000000">
            <w:pPr>
              <w:jc w:val="center"/>
            </w:pPr>
            <w:r>
              <w:rPr>
                <w:rFonts w:eastAsia="Arial"/>
                <w:sz w:val="16"/>
              </w:rPr>
              <w:t>0.058</w:t>
            </w:r>
          </w:p>
        </w:tc>
      </w:tr>
      <w:tr w:rsidR="00E00B43" w14:paraId="5E0042F1" w14:textId="77777777">
        <w:trPr>
          <w:cantSplit/>
          <w:jc w:val="center"/>
        </w:trPr>
        <w:tc>
          <w:tcPr>
            <w:tcW w:w="2880"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62568733" w14:textId="77777777" w:rsidR="00E00B43" w:rsidRDefault="00000000">
            <w:r>
              <w:rPr>
                <w:rFonts w:eastAsia="Arial"/>
                <w:sz w:val="16"/>
              </w:rPr>
              <w:t>Sex specific thresholds</w:t>
            </w:r>
          </w:p>
        </w:tc>
        <w:tc>
          <w:tcPr>
            <w:tcW w:w="1872"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2C8D943C" w14:textId="77777777" w:rsidR="00E00B43" w:rsidRDefault="00000000">
            <w:pPr>
              <w:jc w:val="center"/>
            </w:pPr>
            <w:r>
              <w:rPr>
                <w:rFonts w:eastAsia="Arial"/>
                <w:sz w:val="16"/>
              </w:rPr>
              <w:t>0.395</w:t>
            </w:r>
          </w:p>
        </w:tc>
        <w:tc>
          <w:tcPr>
            <w:tcW w:w="1584"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4E7C7A11" w14:textId="77777777" w:rsidR="00E00B43" w:rsidRDefault="00000000">
            <w:pPr>
              <w:jc w:val="center"/>
            </w:pPr>
            <w:r>
              <w:rPr>
                <w:rFonts w:eastAsia="Arial"/>
                <w:sz w:val="16"/>
              </w:rPr>
              <w:t>0.278</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1863C7D4" w14:textId="77777777" w:rsidR="00E00B43" w:rsidRDefault="00000000">
            <w:pPr>
              <w:jc w:val="center"/>
            </w:pPr>
            <w:r>
              <w:rPr>
                <w:rFonts w:eastAsia="Arial"/>
                <w:sz w:val="16"/>
              </w:rPr>
              <w:t>0.665</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46F5C7D6" w14:textId="77777777" w:rsidR="00E00B43" w:rsidRDefault="00000000">
            <w:pPr>
              <w:jc w:val="center"/>
            </w:pPr>
            <w:r>
              <w:rPr>
                <w:rFonts w:eastAsia="Arial"/>
                <w:sz w:val="16"/>
              </w:rPr>
              <w:t>0.139</w:t>
            </w:r>
          </w:p>
        </w:tc>
      </w:tr>
    </w:tbl>
    <w:p w14:paraId="4B150E76" w14:textId="77777777" w:rsidR="00E00B43" w:rsidRDefault="00E00B43">
      <w:pPr>
        <w:spacing w:after="20"/>
      </w:pPr>
    </w:p>
    <w:p w14:paraId="01D8A8D3" w14:textId="77777777" w:rsidR="00E00B43" w:rsidRDefault="00000000">
      <w:r>
        <w:rPr>
          <w:rFonts w:eastAsia="Arial"/>
        </w:rPr>
        <w:t>Outcome-by-sex training weights improved the recorded-sex impact ratio from 0.705 to 0.764 and reduced the equalized-odds gap from 0.076 to 0.058, while average precision changed from 0.395 to 0.394. Sex-specific thresholds worsened held-out fairness and precision and are rejected. Reweighting remains a candidate for external testing, not an automatic deployment choice.</w:t>
      </w:r>
    </w:p>
    <w:p w14:paraId="6FD165F7" w14:textId="77777777" w:rsidR="00E00B43" w:rsidRDefault="00000000">
      <w:pPr>
        <w:keepNext/>
        <w:spacing w:before="80" w:after="60"/>
        <w:jc w:val="center"/>
      </w:pPr>
      <w:r>
        <w:rPr>
          <w:noProof/>
        </w:rPr>
        <w:drawing>
          <wp:inline distT="0" distB="0" distL="0" distR="0" wp14:anchorId="46F0F049" wp14:editId="243EF916">
            <wp:extent cx="5897880" cy="2058086"/>
            <wp:effectExtent l="0" t="0" r="0" b="0"/>
            <wp:docPr id="13" name="Picture 13" descr="Comparison of original, reweighted, and sex-specific threshold strate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5_mitigation_tradeoff.png"/>
                    <pic:cNvPicPr/>
                  </pic:nvPicPr>
                  <pic:blipFill>
                    <a:blip r:embed="rId20"/>
                    <a:stretch>
                      <a:fillRect/>
                    </a:stretch>
                  </pic:blipFill>
                  <pic:spPr>
                    <a:xfrm>
                      <a:off x="0" y="0"/>
                      <a:ext cx="5897880" cy="2058086"/>
                    </a:xfrm>
                    <a:prstGeom prst="rect">
                      <a:avLst/>
                    </a:prstGeom>
                  </pic:spPr>
                </pic:pic>
              </a:graphicData>
            </a:graphic>
          </wp:inline>
        </w:drawing>
      </w:r>
    </w:p>
    <w:p w14:paraId="4F41A13A" w14:textId="77777777" w:rsidR="00E00B43" w:rsidRDefault="00000000">
      <w:pPr>
        <w:pStyle w:val="Caption"/>
        <w:keepLines/>
        <w:spacing w:after="140"/>
        <w:jc w:val="center"/>
      </w:pPr>
      <w:r>
        <w:rPr>
          <w:rFonts w:eastAsia="Arial"/>
        </w:rPr>
        <w:t>Figure 13. Performance and fairness tradeoffs across mitigation strategies.</w:t>
      </w:r>
    </w:p>
    <w:p w14:paraId="23D31F70" w14:textId="77777777" w:rsidR="00E00B43" w:rsidRDefault="00000000">
      <w:r>
        <w:br w:type="page"/>
      </w:r>
    </w:p>
    <w:p w14:paraId="7569DEB5" w14:textId="77777777" w:rsidR="00E00B43" w:rsidRDefault="00000000">
      <w:pPr>
        <w:pStyle w:val="Heading1"/>
      </w:pPr>
      <w:r>
        <w:lastRenderedPageBreak/>
        <w:t>6 Final Communication and Business Translation</w:t>
      </w:r>
    </w:p>
    <w:p w14:paraId="7991A97B" w14:textId="77777777" w:rsidR="00E00B43" w:rsidRDefault="00000000">
      <w:pPr>
        <w:pStyle w:val="Heading2"/>
      </w:pPr>
      <w:r>
        <w:t>Proposed Workflow</w:t>
      </w:r>
    </w:p>
    <w:p w14:paraId="641FCAE5" w14:textId="77777777" w:rsidR="00E00B43" w:rsidRDefault="00000000">
      <w:r>
        <w:rPr>
          <w:rFonts w:eastAsia="Arial"/>
        </w:rPr>
        <w:t>A future silent-mode pilot would calculate risk after the index observation, place the highest-risk sessions on a review list, and compare predictions with subsequent BP measurements without changing care. Only after prespecified safety and workload review should a later phase test whether presenting alerts changes clinician action or patient outcomes.</w:t>
      </w:r>
    </w:p>
    <w:tbl>
      <w:tblPr>
        <w:tblW w:w="0" w:type="auto"/>
        <w:jc w:val="center"/>
        <w:tblLayout w:type="fixed"/>
        <w:tblLook w:val="04A0" w:firstRow="1" w:lastRow="0" w:firstColumn="1" w:lastColumn="0" w:noHBand="0" w:noVBand="1"/>
      </w:tblPr>
      <w:tblGrid>
        <w:gridCol w:w="6552"/>
        <w:gridCol w:w="3096"/>
      </w:tblGrid>
      <w:tr w:rsidR="00E00B43" w14:paraId="52EF8897" w14:textId="77777777">
        <w:trPr>
          <w:tblHeader/>
          <w:jc w:val="center"/>
        </w:trPr>
        <w:tc>
          <w:tcPr>
            <w:tcW w:w="6552" w:type="dxa"/>
            <w:tcBorders>
              <w:top w:val="single" w:sz="6" w:space="0" w:color="D9D9D9"/>
              <w:left w:val="single" w:sz="6" w:space="0" w:color="D9D9D9"/>
              <w:bottom w:val="single" w:sz="6" w:space="0" w:color="D9D9D9"/>
              <w:right w:val="single" w:sz="6" w:space="0" w:color="D9D9D9"/>
            </w:tcBorders>
            <w:shd w:val="clear" w:color="auto" w:fill="0B5C8E"/>
            <w:tcMar>
              <w:top w:w="90" w:type="dxa"/>
              <w:left w:w="100" w:type="dxa"/>
              <w:bottom w:w="90" w:type="dxa"/>
              <w:right w:w="100" w:type="dxa"/>
            </w:tcMar>
            <w:vAlign w:val="center"/>
          </w:tcPr>
          <w:p w14:paraId="32B78CBB" w14:textId="77777777" w:rsidR="00E00B43" w:rsidRDefault="00000000">
            <w:pPr>
              <w:jc w:val="center"/>
            </w:pPr>
            <w:r>
              <w:rPr>
                <w:rFonts w:eastAsia="Arial"/>
                <w:b/>
                <w:color w:val="FFFFFF"/>
                <w:sz w:val="17"/>
              </w:rPr>
              <w:t>Per 100 eligible sessions at 20% capacity</w:t>
            </w:r>
          </w:p>
        </w:tc>
        <w:tc>
          <w:tcPr>
            <w:tcW w:w="3096" w:type="dxa"/>
            <w:tcBorders>
              <w:top w:val="single" w:sz="6" w:space="0" w:color="D9D9D9"/>
              <w:left w:val="single" w:sz="6" w:space="0" w:color="D9D9D9"/>
              <w:bottom w:val="single" w:sz="6" w:space="0" w:color="D9D9D9"/>
              <w:right w:val="single" w:sz="6" w:space="0" w:color="D9D9D9"/>
            </w:tcBorders>
            <w:shd w:val="clear" w:color="auto" w:fill="0B5C8E"/>
            <w:tcMar>
              <w:top w:w="90" w:type="dxa"/>
              <w:left w:w="100" w:type="dxa"/>
              <w:bottom w:w="90" w:type="dxa"/>
              <w:right w:w="100" w:type="dxa"/>
            </w:tcMar>
            <w:vAlign w:val="center"/>
          </w:tcPr>
          <w:p w14:paraId="469EBE18" w14:textId="77777777" w:rsidR="00E00B43" w:rsidRDefault="00000000">
            <w:pPr>
              <w:jc w:val="center"/>
            </w:pPr>
            <w:r>
              <w:rPr>
                <w:rFonts w:eastAsia="Arial"/>
                <w:b/>
                <w:color w:val="FFFFFF"/>
                <w:sz w:val="17"/>
              </w:rPr>
              <w:t>Retrospective estimate</w:t>
            </w:r>
          </w:p>
        </w:tc>
      </w:tr>
      <w:tr w:rsidR="00E00B43" w14:paraId="5EB259C9" w14:textId="77777777">
        <w:trPr>
          <w:cantSplit/>
          <w:jc w:val="center"/>
        </w:trPr>
        <w:tc>
          <w:tcPr>
            <w:tcW w:w="6552"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4A57FBF2" w14:textId="77777777" w:rsidR="00E00B43" w:rsidRDefault="00000000">
            <w:r>
              <w:rPr>
                <w:rFonts w:eastAsia="Arial"/>
                <w:sz w:val="17"/>
              </w:rPr>
              <w:t>Sessions selected for review</w:t>
            </w:r>
          </w:p>
        </w:tc>
        <w:tc>
          <w:tcPr>
            <w:tcW w:w="30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2C694CC1" w14:textId="77777777" w:rsidR="00E00B43" w:rsidRDefault="00000000">
            <w:pPr>
              <w:jc w:val="center"/>
            </w:pPr>
            <w:r>
              <w:rPr>
                <w:rFonts w:eastAsia="Arial"/>
                <w:sz w:val="17"/>
              </w:rPr>
              <w:t>20.0</w:t>
            </w:r>
          </w:p>
        </w:tc>
      </w:tr>
      <w:tr w:rsidR="00E00B43" w14:paraId="50CD9F43" w14:textId="77777777">
        <w:trPr>
          <w:cantSplit/>
          <w:jc w:val="center"/>
        </w:trPr>
        <w:tc>
          <w:tcPr>
            <w:tcW w:w="6552"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7B2B4D68" w14:textId="77777777" w:rsidR="00E00B43" w:rsidRDefault="00000000">
            <w:r>
              <w:rPr>
                <w:rFonts w:eastAsia="Arial"/>
                <w:sz w:val="17"/>
              </w:rPr>
              <w:t>Observed events in the cohort</w:t>
            </w:r>
          </w:p>
        </w:tc>
        <w:tc>
          <w:tcPr>
            <w:tcW w:w="3096"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4745835F" w14:textId="77777777" w:rsidR="00E00B43" w:rsidRDefault="00000000">
            <w:pPr>
              <w:jc w:val="center"/>
            </w:pPr>
            <w:r>
              <w:rPr>
                <w:rFonts w:eastAsia="Arial"/>
                <w:sz w:val="17"/>
              </w:rPr>
              <w:t>8.5</w:t>
            </w:r>
          </w:p>
        </w:tc>
      </w:tr>
      <w:tr w:rsidR="00E00B43" w14:paraId="46C30850" w14:textId="77777777">
        <w:trPr>
          <w:cantSplit/>
          <w:jc w:val="center"/>
        </w:trPr>
        <w:tc>
          <w:tcPr>
            <w:tcW w:w="6552"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7B63BFAD" w14:textId="77777777" w:rsidR="00E00B43" w:rsidRDefault="00000000">
            <w:r>
              <w:rPr>
                <w:rFonts w:eastAsia="Arial"/>
                <w:sz w:val="17"/>
              </w:rPr>
              <w:t>Observed events concentrated in the selected group</w:t>
            </w:r>
          </w:p>
        </w:tc>
        <w:tc>
          <w:tcPr>
            <w:tcW w:w="30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3CBD5718" w14:textId="77777777" w:rsidR="00E00B43" w:rsidRDefault="00000000">
            <w:pPr>
              <w:jc w:val="center"/>
            </w:pPr>
            <w:r>
              <w:rPr>
                <w:rFonts w:eastAsia="Arial"/>
                <w:sz w:val="17"/>
              </w:rPr>
              <w:t>About 5.9</w:t>
            </w:r>
          </w:p>
        </w:tc>
      </w:tr>
      <w:tr w:rsidR="00E00B43" w14:paraId="14934934" w14:textId="77777777">
        <w:trPr>
          <w:cantSplit/>
          <w:jc w:val="center"/>
        </w:trPr>
        <w:tc>
          <w:tcPr>
            <w:tcW w:w="6552"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4322C1AD" w14:textId="77777777" w:rsidR="00E00B43" w:rsidRDefault="00000000">
            <w:r>
              <w:rPr>
                <w:rFonts w:eastAsia="Arial"/>
                <w:sz w:val="17"/>
              </w:rPr>
              <w:t>Observed events outside the selected group</w:t>
            </w:r>
          </w:p>
        </w:tc>
        <w:tc>
          <w:tcPr>
            <w:tcW w:w="3096"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276CD0CE" w14:textId="77777777" w:rsidR="00E00B43" w:rsidRDefault="00000000">
            <w:pPr>
              <w:jc w:val="center"/>
            </w:pPr>
            <w:r>
              <w:rPr>
                <w:rFonts w:eastAsia="Arial"/>
                <w:sz w:val="17"/>
              </w:rPr>
              <w:t>About 2.6</w:t>
            </w:r>
          </w:p>
        </w:tc>
      </w:tr>
      <w:tr w:rsidR="00E00B43" w14:paraId="67820065" w14:textId="77777777">
        <w:trPr>
          <w:cantSplit/>
          <w:jc w:val="center"/>
        </w:trPr>
        <w:tc>
          <w:tcPr>
            <w:tcW w:w="6552"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716C059D" w14:textId="77777777" w:rsidR="00E00B43" w:rsidRDefault="00000000">
            <w:r>
              <w:rPr>
                <w:rFonts w:eastAsia="Arial"/>
                <w:sz w:val="17"/>
              </w:rPr>
              <w:t>Selected sessions without the event</w:t>
            </w:r>
          </w:p>
        </w:tc>
        <w:tc>
          <w:tcPr>
            <w:tcW w:w="3096"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58203AF0" w14:textId="77777777" w:rsidR="00E00B43" w:rsidRDefault="00000000">
            <w:pPr>
              <w:jc w:val="center"/>
            </w:pPr>
            <w:r>
              <w:rPr>
                <w:rFonts w:eastAsia="Arial"/>
                <w:sz w:val="17"/>
              </w:rPr>
              <w:t>About 14.1</w:t>
            </w:r>
          </w:p>
        </w:tc>
      </w:tr>
    </w:tbl>
    <w:p w14:paraId="01562286" w14:textId="77777777" w:rsidR="00E00B43" w:rsidRDefault="00E00B43">
      <w:pPr>
        <w:spacing w:after="20"/>
      </w:pPr>
    </w:p>
    <w:p w14:paraId="60771D82" w14:textId="77777777" w:rsidR="00E00B43" w:rsidRDefault="00000000">
      <w:r>
        <w:rPr>
          <w:rFonts w:eastAsia="Arial"/>
        </w:rPr>
        <w:t>These values describe risk concentration in retrospective data. They are not prevented events. Every selected session still requires clinical interpretation, and some unselected sessions will experience the outcome.</w:t>
      </w:r>
    </w:p>
    <w:p w14:paraId="54B3F239" w14:textId="77777777" w:rsidR="00E00B43" w:rsidRDefault="00000000">
      <w:pPr>
        <w:pStyle w:val="Heading2"/>
      </w:pPr>
      <w:r>
        <w:t>ROI Measurement Framework</w:t>
      </w:r>
    </w:p>
    <w:p w14:paraId="16604C87" w14:textId="77777777" w:rsidR="00E00B43" w:rsidRDefault="00000000">
      <w:r>
        <w:rPr>
          <w:rFonts w:eastAsia="Arial"/>
        </w:rPr>
        <w:t>The pilot should measure net value rather than assume it. A transparent calculation is: net pilot value equals the number of events causally prevented multiplied by the local value of avoiding one event, less review time, implementation, maintenance, and monitoring costs. The prevention rate and local cost inputs are currently unknown.</w:t>
      </w:r>
    </w:p>
    <w:tbl>
      <w:tblPr>
        <w:tblW w:w="0" w:type="auto"/>
        <w:jc w:val="center"/>
        <w:tblLayout w:type="fixed"/>
        <w:tblLook w:val="04A0" w:firstRow="1" w:lastRow="0" w:firstColumn="1" w:lastColumn="0" w:noHBand="0" w:noVBand="1"/>
      </w:tblPr>
      <w:tblGrid>
        <w:gridCol w:w="2304"/>
        <w:gridCol w:w="7344"/>
      </w:tblGrid>
      <w:tr w:rsidR="00E00B43" w14:paraId="77C3AEDB" w14:textId="77777777">
        <w:trPr>
          <w:tblHeader/>
          <w:jc w:val="center"/>
        </w:trPr>
        <w:tc>
          <w:tcPr>
            <w:tcW w:w="2304" w:type="dxa"/>
            <w:tcBorders>
              <w:top w:val="single" w:sz="6" w:space="0" w:color="D9D9D9"/>
              <w:left w:val="single" w:sz="6" w:space="0" w:color="D9D9D9"/>
              <w:bottom w:val="single" w:sz="6" w:space="0" w:color="D9D9D9"/>
              <w:right w:val="single" w:sz="6" w:space="0" w:color="D9D9D9"/>
            </w:tcBorders>
            <w:shd w:val="clear" w:color="auto" w:fill="0B5C8E"/>
            <w:tcMar>
              <w:top w:w="90" w:type="dxa"/>
              <w:left w:w="100" w:type="dxa"/>
              <w:bottom w:w="90" w:type="dxa"/>
              <w:right w:w="100" w:type="dxa"/>
            </w:tcMar>
            <w:vAlign w:val="center"/>
          </w:tcPr>
          <w:p w14:paraId="07648607" w14:textId="77777777" w:rsidR="00E00B43" w:rsidRDefault="00000000">
            <w:pPr>
              <w:jc w:val="center"/>
            </w:pPr>
            <w:r>
              <w:rPr>
                <w:rFonts w:eastAsia="Arial"/>
                <w:b/>
                <w:color w:val="FFFFFF"/>
                <w:sz w:val="17"/>
              </w:rPr>
              <w:t>Input</w:t>
            </w:r>
          </w:p>
        </w:tc>
        <w:tc>
          <w:tcPr>
            <w:tcW w:w="7344" w:type="dxa"/>
            <w:tcBorders>
              <w:top w:val="single" w:sz="6" w:space="0" w:color="D9D9D9"/>
              <w:left w:val="single" w:sz="6" w:space="0" w:color="D9D9D9"/>
              <w:bottom w:val="single" w:sz="6" w:space="0" w:color="D9D9D9"/>
              <w:right w:val="single" w:sz="6" w:space="0" w:color="D9D9D9"/>
            </w:tcBorders>
            <w:shd w:val="clear" w:color="auto" w:fill="0B5C8E"/>
            <w:tcMar>
              <w:top w:w="90" w:type="dxa"/>
              <w:left w:w="100" w:type="dxa"/>
              <w:bottom w:w="90" w:type="dxa"/>
              <w:right w:w="100" w:type="dxa"/>
            </w:tcMar>
            <w:vAlign w:val="center"/>
          </w:tcPr>
          <w:p w14:paraId="367669C0" w14:textId="77777777" w:rsidR="00E00B43" w:rsidRDefault="00000000">
            <w:pPr>
              <w:jc w:val="center"/>
            </w:pPr>
            <w:r>
              <w:rPr>
                <w:rFonts w:eastAsia="Arial"/>
                <w:b/>
                <w:color w:val="FFFFFF"/>
                <w:sz w:val="17"/>
              </w:rPr>
              <w:t>Pilot measurement</w:t>
            </w:r>
          </w:p>
        </w:tc>
      </w:tr>
      <w:tr w:rsidR="00E00B43" w14:paraId="7E982FBE" w14:textId="77777777">
        <w:trPr>
          <w:cantSplit/>
          <w:jc w:val="center"/>
        </w:trPr>
        <w:tc>
          <w:tcPr>
            <w:tcW w:w="2304"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29180C09" w14:textId="77777777" w:rsidR="00E00B43" w:rsidRDefault="00000000">
            <w:r>
              <w:rPr>
                <w:rFonts w:eastAsia="Arial"/>
                <w:sz w:val="17"/>
              </w:rPr>
              <w:t>Alert workload</w:t>
            </w:r>
          </w:p>
        </w:tc>
        <w:tc>
          <w:tcPr>
            <w:tcW w:w="7344"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1A926E25" w14:textId="77777777" w:rsidR="00E00B43" w:rsidRDefault="00000000">
            <w:r>
              <w:rPr>
                <w:rFonts w:eastAsia="Arial"/>
                <w:sz w:val="17"/>
              </w:rPr>
              <w:t>Alerts per 100 sessions and median review minutes</w:t>
            </w:r>
          </w:p>
        </w:tc>
      </w:tr>
      <w:tr w:rsidR="00E00B43" w14:paraId="76A01E11" w14:textId="77777777">
        <w:trPr>
          <w:cantSplit/>
          <w:jc w:val="center"/>
        </w:trPr>
        <w:tc>
          <w:tcPr>
            <w:tcW w:w="2304"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2F6C95F8" w14:textId="77777777" w:rsidR="00E00B43" w:rsidRDefault="00000000">
            <w:r>
              <w:rPr>
                <w:rFonts w:eastAsia="Arial"/>
                <w:sz w:val="17"/>
              </w:rPr>
              <w:t>Clinical response</w:t>
            </w:r>
          </w:p>
        </w:tc>
        <w:tc>
          <w:tcPr>
            <w:tcW w:w="7344"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73C20E00" w14:textId="77777777" w:rsidR="00E00B43" w:rsidRDefault="00000000">
            <w:r>
              <w:rPr>
                <w:rFonts w:eastAsia="Arial"/>
                <w:sz w:val="17"/>
              </w:rPr>
              <w:t>Proportion reviewed, action taken, action type, and override reason</w:t>
            </w:r>
          </w:p>
        </w:tc>
      </w:tr>
      <w:tr w:rsidR="00E00B43" w14:paraId="4FD20FDA" w14:textId="77777777">
        <w:trPr>
          <w:cantSplit/>
          <w:jc w:val="center"/>
        </w:trPr>
        <w:tc>
          <w:tcPr>
            <w:tcW w:w="2304"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77AE6CFB" w14:textId="77777777" w:rsidR="00E00B43" w:rsidRDefault="00000000">
            <w:r>
              <w:rPr>
                <w:rFonts w:eastAsia="Arial"/>
                <w:sz w:val="17"/>
              </w:rPr>
              <w:t>Patient outcome</w:t>
            </w:r>
          </w:p>
        </w:tc>
        <w:tc>
          <w:tcPr>
            <w:tcW w:w="7344"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7997CE4B" w14:textId="77777777" w:rsidR="00E00B43" w:rsidRDefault="00000000">
            <w:r>
              <w:rPr>
                <w:rFonts w:eastAsia="Arial"/>
                <w:sz w:val="17"/>
              </w:rPr>
              <w:t>BP-defined events, symptoms, interventions, interrupted treatment, and recovery time</w:t>
            </w:r>
          </w:p>
        </w:tc>
      </w:tr>
      <w:tr w:rsidR="00E00B43" w14:paraId="4039D501" w14:textId="77777777">
        <w:trPr>
          <w:cantSplit/>
          <w:jc w:val="center"/>
        </w:trPr>
        <w:tc>
          <w:tcPr>
            <w:tcW w:w="2304"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48B6FABB" w14:textId="77777777" w:rsidR="00E00B43" w:rsidRDefault="00000000">
            <w:r>
              <w:rPr>
                <w:rFonts w:eastAsia="Arial"/>
                <w:sz w:val="17"/>
              </w:rPr>
              <w:t>Safety</w:t>
            </w:r>
          </w:p>
        </w:tc>
        <w:tc>
          <w:tcPr>
            <w:tcW w:w="7344"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2EBDBE49" w14:textId="77777777" w:rsidR="00E00B43" w:rsidRDefault="00000000">
            <w:r>
              <w:rPr>
                <w:rFonts w:eastAsia="Arial"/>
                <w:sz w:val="17"/>
              </w:rPr>
              <w:t>Missed events, delayed treatment, inappropriate action, and incident reports</w:t>
            </w:r>
          </w:p>
        </w:tc>
      </w:tr>
      <w:tr w:rsidR="00E00B43" w14:paraId="1A6599F9" w14:textId="77777777">
        <w:trPr>
          <w:cantSplit/>
          <w:jc w:val="center"/>
        </w:trPr>
        <w:tc>
          <w:tcPr>
            <w:tcW w:w="2304"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05AD6314" w14:textId="77777777" w:rsidR="00E00B43" w:rsidRDefault="00000000">
            <w:r>
              <w:rPr>
                <w:rFonts w:eastAsia="Arial"/>
                <w:sz w:val="17"/>
              </w:rPr>
              <w:t>Equity</w:t>
            </w:r>
          </w:p>
        </w:tc>
        <w:tc>
          <w:tcPr>
            <w:tcW w:w="7344"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67BEB654" w14:textId="77777777" w:rsidR="00E00B43" w:rsidRDefault="00000000">
            <w:r>
              <w:rPr>
                <w:rFonts w:eastAsia="Arial"/>
                <w:sz w:val="17"/>
              </w:rPr>
              <w:t>Selection, sensitivity, false-positive rate, precision, and calibration by governed groups</w:t>
            </w:r>
          </w:p>
        </w:tc>
      </w:tr>
      <w:tr w:rsidR="00E00B43" w14:paraId="4995AACE" w14:textId="77777777">
        <w:trPr>
          <w:cantSplit/>
          <w:jc w:val="center"/>
        </w:trPr>
        <w:tc>
          <w:tcPr>
            <w:tcW w:w="2304"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46D096AF" w14:textId="77777777" w:rsidR="00E00B43" w:rsidRDefault="00000000">
            <w:r>
              <w:rPr>
                <w:rFonts w:eastAsia="Arial"/>
                <w:sz w:val="17"/>
              </w:rPr>
              <w:t>Cost</w:t>
            </w:r>
          </w:p>
        </w:tc>
        <w:tc>
          <w:tcPr>
            <w:tcW w:w="7344"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4B319E60" w14:textId="77777777" w:rsidR="00E00B43" w:rsidRDefault="00000000">
            <w:r>
              <w:rPr>
                <w:rFonts w:eastAsia="Arial"/>
                <w:sz w:val="17"/>
              </w:rPr>
              <w:t>Staff time, implementation, infrastructure, training, maintenance, and event-related utilization</w:t>
            </w:r>
          </w:p>
        </w:tc>
      </w:tr>
    </w:tbl>
    <w:p w14:paraId="0DC68A30" w14:textId="77777777" w:rsidR="00E00B43" w:rsidRDefault="00E00B43">
      <w:pPr>
        <w:spacing w:after="20"/>
      </w:pPr>
    </w:p>
    <w:p w14:paraId="14B015C1" w14:textId="77777777" w:rsidR="00E00B43" w:rsidRDefault="00000000">
      <w:pPr>
        <w:pStyle w:val="Heading2"/>
      </w:pPr>
      <w:r>
        <w:t>Governance and Pilot Gates</w:t>
      </w:r>
    </w:p>
    <w:tbl>
      <w:tblPr>
        <w:tblW w:w="0" w:type="auto"/>
        <w:jc w:val="center"/>
        <w:tblLayout w:type="fixed"/>
        <w:tblLook w:val="04A0" w:firstRow="1" w:lastRow="0" w:firstColumn="1" w:lastColumn="0" w:noHBand="0" w:noVBand="1"/>
      </w:tblPr>
      <w:tblGrid>
        <w:gridCol w:w="2304"/>
        <w:gridCol w:w="7344"/>
      </w:tblGrid>
      <w:tr w:rsidR="00E00B43" w14:paraId="7AE83651" w14:textId="77777777">
        <w:trPr>
          <w:tblHeader/>
          <w:jc w:val="center"/>
        </w:trPr>
        <w:tc>
          <w:tcPr>
            <w:tcW w:w="2304" w:type="dxa"/>
            <w:tcBorders>
              <w:top w:val="single" w:sz="6" w:space="0" w:color="D9D9D9"/>
              <w:left w:val="single" w:sz="6" w:space="0" w:color="D9D9D9"/>
              <w:bottom w:val="single" w:sz="6" w:space="0" w:color="D9D9D9"/>
              <w:right w:val="single" w:sz="6" w:space="0" w:color="D9D9D9"/>
            </w:tcBorders>
            <w:shd w:val="clear" w:color="auto" w:fill="0B5C8E"/>
            <w:tcMar>
              <w:top w:w="90" w:type="dxa"/>
              <w:left w:w="100" w:type="dxa"/>
              <w:bottom w:w="90" w:type="dxa"/>
              <w:right w:w="100" w:type="dxa"/>
            </w:tcMar>
            <w:vAlign w:val="center"/>
          </w:tcPr>
          <w:p w14:paraId="423F3713" w14:textId="77777777" w:rsidR="00E00B43" w:rsidRDefault="00000000">
            <w:pPr>
              <w:jc w:val="center"/>
            </w:pPr>
            <w:r>
              <w:rPr>
                <w:rFonts w:eastAsia="Arial"/>
                <w:b/>
                <w:color w:val="FFFFFF"/>
                <w:sz w:val="17"/>
              </w:rPr>
              <w:t>Gate</w:t>
            </w:r>
          </w:p>
        </w:tc>
        <w:tc>
          <w:tcPr>
            <w:tcW w:w="7344" w:type="dxa"/>
            <w:tcBorders>
              <w:top w:val="single" w:sz="6" w:space="0" w:color="D9D9D9"/>
              <w:left w:val="single" w:sz="6" w:space="0" w:color="D9D9D9"/>
              <w:bottom w:val="single" w:sz="6" w:space="0" w:color="D9D9D9"/>
              <w:right w:val="single" w:sz="6" w:space="0" w:color="D9D9D9"/>
            </w:tcBorders>
            <w:shd w:val="clear" w:color="auto" w:fill="0B5C8E"/>
            <w:tcMar>
              <w:top w:w="90" w:type="dxa"/>
              <w:left w:w="100" w:type="dxa"/>
              <w:bottom w:w="90" w:type="dxa"/>
              <w:right w:w="100" w:type="dxa"/>
            </w:tcMar>
            <w:vAlign w:val="center"/>
          </w:tcPr>
          <w:p w14:paraId="0E30A2F4" w14:textId="77777777" w:rsidR="00E00B43" w:rsidRDefault="00000000">
            <w:pPr>
              <w:jc w:val="center"/>
            </w:pPr>
            <w:r>
              <w:rPr>
                <w:rFonts w:eastAsia="Arial"/>
                <w:b/>
                <w:color w:val="FFFFFF"/>
                <w:sz w:val="17"/>
              </w:rPr>
              <w:t>Minimum evidence before progression</w:t>
            </w:r>
          </w:p>
        </w:tc>
      </w:tr>
      <w:tr w:rsidR="00E00B43" w14:paraId="7843538C" w14:textId="77777777">
        <w:trPr>
          <w:cantSplit/>
          <w:jc w:val="center"/>
        </w:trPr>
        <w:tc>
          <w:tcPr>
            <w:tcW w:w="2304"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3978ACCC" w14:textId="77777777" w:rsidR="00E00B43" w:rsidRDefault="00000000">
            <w:r>
              <w:rPr>
                <w:rFonts w:eastAsia="Arial"/>
                <w:sz w:val="17"/>
              </w:rPr>
              <w:lastRenderedPageBreak/>
              <w:t>External validity</w:t>
            </w:r>
          </w:p>
        </w:tc>
        <w:tc>
          <w:tcPr>
            <w:tcW w:w="7344"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6589F330" w14:textId="77777777" w:rsidR="00E00B43" w:rsidRDefault="00000000">
            <w:r>
              <w:rPr>
                <w:rFonts w:eastAsia="Arial"/>
                <w:sz w:val="17"/>
              </w:rPr>
              <w:t>Acceptable discrimination and calibration in a different centre or later time period</w:t>
            </w:r>
          </w:p>
        </w:tc>
      </w:tr>
      <w:tr w:rsidR="00E00B43" w14:paraId="245E824E" w14:textId="77777777">
        <w:trPr>
          <w:cantSplit/>
          <w:jc w:val="center"/>
        </w:trPr>
        <w:tc>
          <w:tcPr>
            <w:tcW w:w="2304"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49E91D44" w14:textId="77777777" w:rsidR="00E00B43" w:rsidRDefault="00000000">
            <w:r>
              <w:rPr>
                <w:rFonts w:eastAsia="Arial"/>
                <w:sz w:val="17"/>
              </w:rPr>
              <w:t>Operational fit</w:t>
            </w:r>
          </w:p>
        </w:tc>
        <w:tc>
          <w:tcPr>
            <w:tcW w:w="7344"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0F1499D7" w14:textId="77777777" w:rsidR="00E00B43" w:rsidRDefault="00000000">
            <w:r>
              <w:rPr>
                <w:rFonts w:eastAsia="Arial"/>
                <w:sz w:val="17"/>
              </w:rPr>
              <w:t>Review volume and response time remain within agreed staffing capacity</w:t>
            </w:r>
          </w:p>
        </w:tc>
      </w:tr>
      <w:tr w:rsidR="00E00B43" w14:paraId="23245B2D" w14:textId="77777777">
        <w:trPr>
          <w:cantSplit/>
          <w:jc w:val="center"/>
        </w:trPr>
        <w:tc>
          <w:tcPr>
            <w:tcW w:w="2304"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58B9C2D3" w14:textId="77777777" w:rsidR="00E00B43" w:rsidRDefault="00000000">
            <w:r>
              <w:rPr>
                <w:rFonts w:eastAsia="Arial"/>
                <w:sz w:val="17"/>
              </w:rPr>
              <w:t>Safety</w:t>
            </w:r>
          </w:p>
        </w:tc>
        <w:tc>
          <w:tcPr>
            <w:tcW w:w="7344"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69740658" w14:textId="77777777" w:rsidR="00E00B43" w:rsidRDefault="00000000">
            <w:r>
              <w:rPr>
                <w:rFonts w:eastAsia="Arial"/>
                <w:sz w:val="17"/>
              </w:rPr>
              <w:t>No unacceptable harm signal, with defined clinician override and escalation</w:t>
            </w:r>
          </w:p>
        </w:tc>
      </w:tr>
      <w:tr w:rsidR="00E00B43" w14:paraId="19CCEA5A" w14:textId="77777777">
        <w:trPr>
          <w:cantSplit/>
          <w:jc w:val="center"/>
        </w:trPr>
        <w:tc>
          <w:tcPr>
            <w:tcW w:w="2304"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44CA94D4" w14:textId="77777777" w:rsidR="00E00B43" w:rsidRDefault="00000000">
            <w:r>
              <w:rPr>
                <w:rFonts w:eastAsia="Arial"/>
                <w:sz w:val="17"/>
              </w:rPr>
              <w:t>Fairness</w:t>
            </w:r>
          </w:p>
        </w:tc>
        <w:tc>
          <w:tcPr>
            <w:tcW w:w="7344"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2ABC6DCC" w14:textId="77777777" w:rsidR="00E00B43" w:rsidRDefault="00000000">
            <w:r>
              <w:rPr>
                <w:rFonts w:eastAsia="Arial"/>
                <w:sz w:val="17"/>
              </w:rPr>
              <w:t>Prespecified subgroup metrics and uncertainty reviewed by governance</w:t>
            </w:r>
          </w:p>
        </w:tc>
      </w:tr>
      <w:tr w:rsidR="00E00B43" w14:paraId="6881F45D" w14:textId="77777777">
        <w:trPr>
          <w:cantSplit/>
          <w:jc w:val="center"/>
        </w:trPr>
        <w:tc>
          <w:tcPr>
            <w:tcW w:w="2304"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65473DDC" w14:textId="77777777" w:rsidR="00E00B43" w:rsidRDefault="00000000">
            <w:r>
              <w:rPr>
                <w:rFonts w:eastAsia="Arial"/>
                <w:sz w:val="17"/>
              </w:rPr>
              <w:t>Human factors</w:t>
            </w:r>
          </w:p>
        </w:tc>
        <w:tc>
          <w:tcPr>
            <w:tcW w:w="7344"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791CFF7A" w14:textId="77777777" w:rsidR="00E00B43" w:rsidRDefault="00000000">
            <w:r>
              <w:rPr>
                <w:rFonts w:eastAsia="Arial"/>
                <w:sz w:val="17"/>
              </w:rPr>
              <w:t>Clinicians understand the score, avoid automation bias, and document decisions</w:t>
            </w:r>
          </w:p>
        </w:tc>
      </w:tr>
      <w:tr w:rsidR="00E00B43" w14:paraId="3B9CE709" w14:textId="77777777">
        <w:trPr>
          <w:cantSplit/>
          <w:jc w:val="center"/>
        </w:trPr>
        <w:tc>
          <w:tcPr>
            <w:tcW w:w="2304"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5C88762A" w14:textId="77777777" w:rsidR="00E00B43" w:rsidRDefault="00000000">
            <w:r>
              <w:rPr>
                <w:rFonts w:eastAsia="Arial"/>
                <w:sz w:val="17"/>
              </w:rPr>
              <w:t>Monitoring</w:t>
            </w:r>
          </w:p>
        </w:tc>
        <w:tc>
          <w:tcPr>
            <w:tcW w:w="7344"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7A2A160D" w14:textId="77777777" w:rsidR="00E00B43" w:rsidRDefault="00000000">
            <w:r>
              <w:rPr>
                <w:rFonts w:eastAsia="Arial"/>
                <w:sz w:val="17"/>
              </w:rPr>
              <w:t>Data quality, drift, calibration, alert burden, incidents, and rollback are operational</w:t>
            </w:r>
          </w:p>
        </w:tc>
      </w:tr>
    </w:tbl>
    <w:p w14:paraId="0D5816EB" w14:textId="77777777" w:rsidR="00E00B43" w:rsidRDefault="00E00B43">
      <w:pPr>
        <w:spacing w:after="20"/>
      </w:pPr>
    </w:p>
    <w:p w14:paraId="0773F643" w14:textId="77777777" w:rsidR="00E00B43" w:rsidRDefault="00000000">
      <w:r>
        <w:rPr>
          <w:rFonts w:eastAsia="Arial"/>
        </w:rPr>
        <w:t>The final communication package includes a sixteen-slide technical deck for peers and an eleven-slide business deck for executives. Both decks state the evidence boundary and recommend validation rather than deployment.</w:t>
      </w:r>
    </w:p>
    <w:p w14:paraId="06BB275C" w14:textId="77777777" w:rsidR="00E00B43" w:rsidRDefault="00000000">
      <w:r>
        <w:br w:type="page"/>
      </w:r>
    </w:p>
    <w:p w14:paraId="54E19EAE" w14:textId="77777777" w:rsidR="00E00B43" w:rsidRDefault="00000000">
      <w:pPr>
        <w:pStyle w:val="Heading1"/>
      </w:pPr>
      <w:r>
        <w:lastRenderedPageBreak/>
        <w:t>7 Reproducibility and GitHub Repository</w:t>
      </w:r>
    </w:p>
    <w:p w14:paraId="6E916422" w14:textId="77777777" w:rsidR="00E00B43" w:rsidRDefault="00000000">
      <w:r>
        <w:rPr>
          <w:rFonts w:eastAsia="Arial"/>
        </w:rPr>
        <w:t>The public repository is organized as an open-source project. Raw and processed data are excluded from Git because the source is large and patient-level. A version-pinned acquisition script downloads HEMOBP Version 3 and verifies MD5 checksums. The selected compressed predictor is retained so that inference can be tested without retraining.</w:t>
      </w:r>
    </w:p>
    <w:tbl>
      <w:tblPr>
        <w:tblW w:w="0" w:type="auto"/>
        <w:jc w:val="center"/>
        <w:tblLayout w:type="fixed"/>
        <w:tblLook w:val="04A0" w:firstRow="1" w:lastRow="0" w:firstColumn="1" w:lastColumn="0" w:noHBand="0" w:noVBand="1"/>
      </w:tblPr>
      <w:tblGrid>
        <w:gridCol w:w="2520"/>
        <w:gridCol w:w="7128"/>
      </w:tblGrid>
      <w:tr w:rsidR="00E00B43" w14:paraId="07947117" w14:textId="77777777">
        <w:trPr>
          <w:tblHeader/>
          <w:jc w:val="center"/>
        </w:trPr>
        <w:tc>
          <w:tcPr>
            <w:tcW w:w="2520" w:type="dxa"/>
            <w:tcBorders>
              <w:top w:val="single" w:sz="6" w:space="0" w:color="D9D9D9"/>
              <w:left w:val="single" w:sz="6" w:space="0" w:color="D9D9D9"/>
              <w:bottom w:val="single" w:sz="6" w:space="0" w:color="D9D9D9"/>
              <w:right w:val="single" w:sz="6" w:space="0" w:color="D9D9D9"/>
            </w:tcBorders>
            <w:shd w:val="clear" w:color="auto" w:fill="0B5C8E"/>
            <w:tcMar>
              <w:top w:w="90" w:type="dxa"/>
              <w:left w:w="100" w:type="dxa"/>
              <w:bottom w:w="90" w:type="dxa"/>
              <w:right w:w="100" w:type="dxa"/>
            </w:tcMar>
            <w:vAlign w:val="center"/>
          </w:tcPr>
          <w:p w14:paraId="5ABB4DE8" w14:textId="77777777" w:rsidR="00E00B43" w:rsidRDefault="00000000">
            <w:pPr>
              <w:jc w:val="center"/>
            </w:pPr>
            <w:r>
              <w:rPr>
                <w:rFonts w:eastAsia="Arial"/>
                <w:b/>
                <w:color w:val="FFFFFF"/>
                <w:sz w:val="17"/>
              </w:rPr>
              <w:t>Repository path</w:t>
            </w:r>
          </w:p>
        </w:tc>
        <w:tc>
          <w:tcPr>
            <w:tcW w:w="7128" w:type="dxa"/>
            <w:tcBorders>
              <w:top w:val="single" w:sz="6" w:space="0" w:color="D9D9D9"/>
              <w:left w:val="single" w:sz="6" w:space="0" w:color="D9D9D9"/>
              <w:bottom w:val="single" w:sz="6" w:space="0" w:color="D9D9D9"/>
              <w:right w:val="single" w:sz="6" w:space="0" w:color="D9D9D9"/>
            </w:tcBorders>
            <w:shd w:val="clear" w:color="auto" w:fill="0B5C8E"/>
            <w:tcMar>
              <w:top w:w="90" w:type="dxa"/>
              <w:left w:w="100" w:type="dxa"/>
              <w:bottom w:w="90" w:type="dxa"/>
              <w:right w:w="100" w:type="dxa"/>
            </w:tcMar>
            <w:vAlign w:val="center"/>
          </w:tcPr>
          <w:p w14:paraId="5EA8AA27" w14:textId="77777777" w:rsidR="00E00B43" w:rsidRDefault="00000000">
            <w:pPr>
              <w:jc w:val="center"/>
            </w:pPr>
            <w:r>
              <w:rPr>
                <w:rFonts w:eastAsia="Arial"/>
                <w:b/>
                <w:color w:val="FFFFFF"/>
                <w:sz w:val="17"/>
              </w:rPr>
              <w:t>Contents</w:t>
            </w:r>
          </w:p>
        </w:tc>
      </w:tr>
      <w:tr w:rsidR="00E00B43" w14:paraId="2BBAD7BC" w14:textId="77777777">
        <w:trPr>
          <w:cantSplit/>
          <w:jc w:val="center"/>
        </w:trPr>
        <w:tc>
          <w:tcPr>
            <w:tcW w:w="2520"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64C32771" w14:textId="77777777" w:rsidR="00E00B43" w:rsidRDefault="00000000">
            <w:r>
              <w:rPr>
                <w:rFonts w:eastAsia="Arial"/>
                <w:sz w:val="17"/>
              </w:rPr>
              <w:t>src</w:t>
            </w:r>
          </w:p>
        </w:tc>
        <w:tc>
          <w:tcPr>
            <w:tcW w:w="7128"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2DCCFAB6" w14:textId="77777777" w:rsidR="00E00B43" w:rsidRDefault="00000000">
            <w:r>
              <w:rPr>
                <w:rFonts w:eastAsia="Arial"/>
                <w:sz w:val="17"/>
              </w:rPr>
              <w:t>Acquisition, cohort construction, EDA, training, audit, inference, and report builders</w:t>
            </w:r>
          </w:p>
        </w:tc>
      </w:tr>
      <w:tr w:rsidR="00E00B43" w14:paraId="2474B66B" w14:textId="77777777">
        <w:trPr>
          <w:cantSplit/>
          <w:jc w:val="center"/>
        </w:trPr>
        <w:tc>
          <w:tcPr>
            <w:tcW w:w="2520"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39F302F1" w14:textId="77777777" w:rsidR="00E00B43" w:rsidRDefault="00000000">
            <w:r>
              <w:rPr>
                <w:rFonts w:eastAsia="Arial"/>
                <w:sz w:val="17"/>
              </w:rPr>
              <w:t>notebooks</w:t>
            </w:r>
          </w:p>
        </w:tc>
        <w:tc>
          <w:tcPr>
            <w:tcW w:w="7128"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3AC4A181" w14:textId="77777777" w:rsidR="00E00B43" w:rsidRDefault="00000000">
            <w:r>
              <w:rPr>
                <w:rFonts w:eastAsia="Arial"/>
                <w:sz w:val="17"/>
              </w:rPr>
              <w:t>Guided end-to-end workflow</w:t>
            </w:r>
          </w:p>
        </w:tc>
      </w:tr>
      <w:tr w:rsidR="00E00B43" w14:paraId="7F96031C" w14:textId="77777777">
        <w:trPr>
          <w:cantSplit/>
          <w:jc w:val="center"/>
        </w:trPr>
        <w:tc>
          <w:tcPr>
            <w:tcW w:w="2520"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2C86F792" w14:textId="77777777" w:rsidR="00E00B43" w:rsidRDefault="00000000">
            <w:r>
              <w:rPr>
                <w:rFonts w:eastAsia="Arial"/>
                <w:sz w:val="17"/>
              </w:rPr>
              <w:t>data</w:t>
            </w:r>
          </w:p>
        </w:tc>
        <w:tc>
          <w:tcPr>
            <w:tcW w:w="7128"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50D46791" w14:textId="77777777" w:rsidR="00E00B43" w:rsidRDefault="00000000">
            <w:r>
              <w:rPr>
                <w:rFonts w:eastAsia="Arial"/>
                <w:sz w:val="17"/>
              </w:rPr>
              <w:t>Acquisition instructions and empty tracked directories</w:t>
            </w:r>
          </w:p>
        </w:tc>
      </w:tr>
      <w:tr w:rsidR="00E00B43" w14:paraId="6BD562E9" w14:textId="77777777">
        <w:trPr>
          <w:cantSplit/>
          <w:jc w:val="center"/>
        </w:trPr>
        <w:tc>
          <w:tcPr>
            <w:tcW w:w="2520"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3902366B" w14:textId="77777777" w:rsidR="00E00B43" w:rsidRDefault="00000000">
            <w:r>
              <w:rPr>
                <w:rFonts w:eastAsia="Arial"/>
                <w:sz w:val="17"/>
              </w:rPr>
              <w:t>models</w:t>
            </w:r>
          </w:p>
        </w:tc>
        <w:tc>
          <w:tcPr>
            <w:tcW w:w="7128"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24EE7A45" w14:textId="77777777" w:rsidR="00E00B43" w:rsidRDefault="00000000">
            <w:r>
              <w:rPr>
                <w:rFonts w:eastAsia="Arial"/>
                <w:sz w:val="17"/>
              </w:rPr>
              <w:t>Selected predictor, threshold specification, and manifest</w:t>
            </w:r>
          </w:p>
        </w:tc>
      </w:tr>
      <w:tr w:rsidR="00E00B43" w14:paraId="048F2380" w14:textId="77777777">
        <w:trPr>
          <w:cantSplit/>
          <w:jc w:val="center"/>
        </w:trPr>
        <w:tc>
          <w:tcPr>
            <w:tcW w:w="2520"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7440672C" w14:textId="77777777" w:rsidR="00E00B43" w:rsidRDefault="00000000">
            <w:r>
              <w:rPr>
                <w:rFonts w:eastAsia="Arial"/>
                <w:sz w:val="17"/>
              </w:rPr>
              <w:t>artifacts</w:t>
            </w:r>
          </w:p>
        </w:tc>
        <w:tc>
          <w:tcPr>
            <w:tcW w:w="7128"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65C2FDCA" w14:textId="77777777" w:rsidR="00E00B43" w:rsidRDefault="00000000">
            <w:r>
              <w:rPr>
                <w:rFonts w:eastAsia="Arial"/>
                <w:sz w:val="17"/>
              </w:rPr>
              <w:t>Metrics, uncertainty intervals, audit tables, and figures</w:t>
            </w:r>
          </w:p>
        </w:tc>
      </w:tr>
      <w:tr w:rsidR="00E00B43" w14:paraId="4EE1F686" w14:textId="77777777">
        <w:trPr>
          <w:cantSplit/>
          <w:jc w:val="center"/>
        </w:trPr>
        <w:tc>
          <w:tcPr>
            <w:tcW w:w="2520"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0251954F" w14:textId="77777777" w:rsidR="00E00B43" w:rsidRDefault="00000000">
            <w:r>
              <w:rPr>
                <w:rFonts w:eastAsia="Arial"/>
                <w:sz w:val="17"/>
              </w:rPr>
              <w:t>docs</w:t>
            </w:r>
          </w:p>
        </w:tc>
        <w:tc>
          <w:tcPr>
            <w:tcW w:w="7128"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0ED9A6D5" w14:textId="77777777" w:rsidR="00E00B43" w:rsidRDefault="00000000">
            <w:r>
              <w:rPr>
                <w:rFonts w:eastAsia="Arial"/>
                <w:sz w:val="17"/>
              </w:rPr>
              <w:t>Data dictionary, preprocessing specification, and model card</w:t>
            </w:r>
          </w:p>
        </w:tc>
      </w:tr>
      <w:tr w:rsidR="00E00B43" w14:paraId="46085A78" w14:textId="77777777">
        <w:trPr>
          <w:cantSplit/>
          <w:jc w:val="center"/>
        </w:trPr>
        <w:tc>
          <w:tcPr>
            <w:tcW w:w="2520"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4DBB458D" w14:textId="77777777" w:rsidR="00E00B43" w:rsidRDefault="00000000">
            <w:r>
              <w:rPr>
                <w:rFonts w:eastAsia="Arial"/>
                <w:sz w:val="17"/>
              </w:rPr>
              <w:t>reports</w:t>
            </w:r>
          </w:p>
        </w:tc>
        <w:tc>
          <w:tcPr>
            <w:tcW w:w="7128"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24680804" w14:textId="77777777" w:rsidR="00E00B43" w:rsidRDefault="00000000">
            <w:r>
              <w:rPr>
                <w:rFonts w:eastAsia="Arial"/>
                <w:sz w:val="17"/>
              </w:rPr>
              <w:t>Final report, component reports, and technical and business presentations</w:t>
            </w:r>
          </w:p>
        </w:tc>
      </w:tr>
      <w:tr w:rsidR="00E00B43" w14:paraId="5A3329D5" w14:textId="77777777">
        <w:trPr>
          <w:cantSplit/>
          <w:jc w:val="center"/>
        </w:trPr>
        <w:tc>
          <w:tcPr>
            <w:tcW w:w="2520"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49837F57" w14:textId="77777777" w:rsidR="00E00B43" w:rsidRDefault="00000000">
            <w:r>
              <w:rPr>
                <w:rFonts w:eastAsia="Arial"/>
                <w:sz w:val="17"/>
              </w:rPr>
              <w:t>tests</w:t>
            </w:r>
          </w:p>
        </w:tc>
        <w:tc>
          <w:tcPr>
            <w:tcW w:w="7128"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54B90CF6" w14:textId="77777777" w:rsidR="00E00B43" w:rsidRDefault="00000000">
            <w:r>
              <w:rPr>
                <w:rFonts w:eastAsia="Arial"/>
                <w:sz w:val="17"/>
              </w:rPr>
              <w:t>Contract and saved-model inference tests</w:t>
            </w:r>
          </w:p>
        </w:tc>
      </w:tr>
      <w:tr w:rsidR="00E00B43" w14:paraId="34E3A0F2" w14:textId="77777777">
        <w:trPr>
          <w:cantSplit/>
          <w:jc w:val="center"/>
        </w:trPr>
        <w:tc>
          <w:tcPr>
            <w:tcW w:w="2520"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77D8C2DE" w14:textId="77777777" w:rsidR="00E00B43" w:rsidRDefault="00000000">
            <w:r>
              <w:rPr>
                <w:rFonts w:eastAsia="Arial"/>
                <w:sz w:val="17"/>
              </w:rPr>
              <w:t>.github workflows</w:t>
            </w:r>
          </w:p>
        </w:tc>
        <w:tc>
          <w:tcPr>
            <w:tcW w:w="7128"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51B8AD77" w14:textId="77777777" w:rsidR="00E00B43" w:rsidRDefault="00000000">
            <w:r>
              <w:rPr>
                <w:rFonts w:eastAsia="Arial"/>
                <w:sz w:val="17"/>
              </w:rPr>
              <w:t>Automated tests on each push and pull request</w:t>
            </w:r>
          </w:p>
        </w:tc>
      </w:tr>
    </w:tbl>
    <w:p w14:paraId="1BA24147" w14:textId="77777777" w:rsidR="00E00B43" w:rsidRDefault="00E00B43">
      <w:pPr>
        <w:spacing w:after="20"/>
      </w:pPr>
    </w:p>
    <w:p w14:paraId="4CEBCBE1" w14:textId="23AFCB8A" w:rsidR="000B3972" w:rsidRDefault="00000000">
      <w:pPr>
        <w:keepLines/>
        <w:spacing w:before="160" w:line="240" w:lineRule="auto"/>
        <w:ind w:right="144"/>
        <w:rPr>
          <w:rFonts w:ascii="Courier New" w:eastAsia="Courier New" w:hAnsi="Courier New"/>
          <w:sz w:val="14"/>
        </w:rPr>
      </w:pPr>
      <w:r>
        <w:rPr>
          <w:rFonts w:eastAsia="Arial"/>
          <w:b/>
          <w:sz w:val="24"/>
        </w:rPr>
        <w:t>Reproduction Commands</w:t>
      </w:r>
      <w:r>
        <w:rPr>
          <w:rFonts w:eastAsia="Arial"/>
          <w:b/>
          <w:sz w:val="24"/>
        </w:rPr>
        <w:br/>
      </w:r>
      <w:r>
        <w:rPr>
          <w:rFonts w:ascii="Courier New" w:eastAsia="Courier New" w:hAnsi="Courier New"/>
          <w:sz w:val="14"/>
        </w:rPr>
        <w:t>python -m pip install -r requirements.txt</w:t>
      </w:r>
      <w:r>
        <w:rPr>
          <w:rFonts w:ascii="Courier New" w:eastAsia="Courier New" w:hAnsi="Courier New"/>
          <w:sz w:val="14"/>
        </w:rPr>
        <w:br/>
        <w:t>python src/download_data.py</w:t>
      </w:r>
      <w:r>
        <w:rPr>
          <w:rFonts w:ascii="Courier New" w:eastAsia="Courier New" w:hAnsi="Courier New"/>
          <w:sz w:val="14"/>
        </w:rPr>
        <w:br/>
        <w:t>python src/build_session_dataset.py --raw-</w:t>
      </w:r>
      <w:proofErr w:type="spellStart"/>
      <w:r>
        <w:rPr>
          <w:rFonts w:ascii="Courier New" w:eastAsia="Courier New" w:hAnsi="Courier New"/>
          <w:sz w:val="14"/>
        </w:rPr>
        <w:t>dir</w:t>
      </w:r>
      <w:proofErr w:type="spellEnd"/>
      <w:r>
        <w:rPr>
          <w:rFonts w:ascii="Courier New" w:eastAsia="Courier New" w:hAnsi="Courier New"/>
          <w:sz w:val="14"/>
        </w:rPr>
        <w:t xml:space="preserve"> data/raw --output-</w:t>
      </w:r>
      <w:proofErr w:type="spellStart"/>
      <w:r>
        <w:rPr>
          <w:rFonts w:ascii="Courier New" w:eastAsia="Courier New" w:hAnsi="Courier New"/>
          <w:sz w:val="14"/>
        </w:rPr>
        <w:t>dir</w:t>
      </w:r>
      <w:proofErr w:type="spellEnd"/>
      <w:r>
        <w:rPr>
          <w:rFonts w:ascii="Courier New" w:eastAsia="Courier New" w:hAnsi="Courier New"/>
          <w:sz w:val="14"/>
        </w:rPr>
        <w:t xml:space="preserve"> data/processed</w:t>
      </w:r>
      <w:r w:rsidR="000B3972" w:rsidRPr="000B3972">
        <w:t xml:space="preserve"> </w:t>
      </w:r>
    </w:p>
    <w:p w14:paraId="3AAF00B5" w14:textId="558CF856" w:rsidR="00E00B43" w:rsidRDefault="000B3972">
      <w:pPr>
        <w:keepLines/>
        <w:spacing w:before="160" w:line="240" w:lineRule="auto"/>
        <w:ind w:right="144"/>
      </w:pPr>
      <w:r w:rsidRPr="000B3972">
        <w:rPr>
          <w:rFonts w:ascii="Courier New" w:eastAsia="Courier New" w:hAnsi="Courier New"/>
          <w:sz w:val="14"/>
        </w:rPr>
        <w:t>python src/generate_step2_assets.py</w:t>
      </w:r>
      <w:r w:rsidR="00406AC1">
        <w:rPr>
          <w:rFonts w:ascii="Courier New" w:eastAsia="Courier New" w:hAnsi="Courier New"/>
          <w:sz w:val="14"/>
        </w:rPr>
        <w:br/>
        <w:t>python src/train_evaluate.py --data data/processed/hemobp_session_level.csv.gz --config configs/</w:t>
      </w:r>
      <w:proofErr w:type="spellStart"/>
      <w:r w:rsidR="00406AC1">
        <w:rPr>
          <w:rFonts w:ascii="Courier New" w:eastAsia="Courier New" w:hAnsi="Courier New"/>
          <w:sz w:val="14"/>
        </w:rPr>
        <w:t>model_config.json</w:t>
      </w:r>
      <w:proofErr w:type="spellEnd"/>
      <w:r w:rsidR="00406AC1">
        <w:rPr>
          <w:rFonts w:ascii="Courier New" w:eastAsia="Courier New" w:hAnsi="Courier New"/>
          <w:sz w:val="14"/>
        </w:rPr>
        <w:t xml:space="preserve"> --artifacts </w:t>
      </w:r>
      <w:proofErr w:type="spellStart"/>
      <w:r w:rsidR="00406AC1">
        <w:rPr>
          <w:rFonts w:ascii="Courier New" w:eastAsia="Courier New" w:hAnsi="Courier New"/>
          <w:sz w:val="14"/>
        </w:rPr>
        <w:t>artifacts</w:t>
      </w:r>
      <w:proofErr w:type="spellEnd"/>
      <w:r w:rsidR="00406AC1">
        <w:rPr>
          <w:rFonts w:ascii="Courier New" w:eastAsia="Courier New" w:hAnsi="Courier New"/>
          <w:sz w:val="14"/>
        </w:rPr>
        <w:t xml:space="preserve"> --</w:t>
      </w:r>
      <w:proofErr w:type="gramStart"/>
      <w:r w:rsidR="00406AC1">
        <w:rPr>
          <w:rFonts w:ascii="Courier New" w:eastAsia="Courier New" w:hAnsi="Courier New"/>
          <w:sz w:val="14"/>
        </w:rPr>
        <w:t>models</w:t>
      </w:r>
      <w:proofErr w:type="gramEnd"/>
      <w:r w:rsidR="00406AC1">
        <w:rPr>
          <w:rFonts w:ascii="Courier New" w:eastAsia="Courier New" w:hAnsi="Courier New"/>
          <w:sz w:val="14"/>
        </w:rPr>
        <w:t xml:space="preserve"> </w:t>
      </w:r>
      <w:proofErr w:type="spellStart"/>
      <w:r w:rsidR="00406AC1">
        <w:rPr>
          <w:rFonts w:ascii="Courier New" w:eastAsia="Courier New" w:hAnsi="Courier New"/>
          <w:sz w:val="14"/>
        </w:rPr>
        <w:t>models</w:t>
      </w:r>
      <w:proofErr w:type="spellEnd"/>
      <w:r w:rsidR="00406AC1">
        <w:rPr>
          <w:rFonts w:ascii="Courier New" w:eastAsia="Courier New" w:hAnsi="Courier New"/>
          <w:sz w:val="14"/>
        </w:rPr>
        <w:br/>
        <w:t>python src/generate_eda.py</w:t>
      </w:r>
      <w:r w:rsidR="00406AC1">
        <w:rPr>
          <w:rFonts w:ascii="Courier New" w:eastAsia="Courier New" w:hAnsi="Courier New"/>
          <w:sz w:val="14"/>
        </w:rPr>
        <w:br/>
        <w:t>python src/generate_step4_assets.py</w:t>
      </w:r>
      <w:r w:rsidR="00406AC1">
        <w:rPr>
          <w:rFonts w:ascii="Courier New" w:eastAsia="Courier New" w:hAnsi="Courier New"/>
          <w:sz w:val="14"/>
        </w:rPr>
        <w:br/>
        <w:t>python src/audit_bias_fairness.py</w:t>
      </w:r>
      <w:r w:rsidR="00406AC1">
        <w:rPr>
          <w:rFonts w:ascii="Courier New" w:eastAsia="Courier New" w:hAnsi="Courier New"/>
          <w:sz w:val="14"/>
        </w:rPr>
        <w:br/>
        <w:t>python src/create_final_report.py</w:t>
      </w:r>
      <w:r w:rsidR="00406AC1">
        <w:rPr>
          <w:rFonts w:ascii="Courier New" w:eastAsia="Courier New" w:hAnsi="Courier New"/>
          <w:sz w:val="14"/>
        </w:rPr>
        <w:br/>
      </w:r>
      <w:r w:rsidRPr="000B3972">
        <w:rPr>
          <w:rFonts w:ascii="Courier New" w:eastAsia="Courier New" w:hAnsi="Courier New"/>
          <w:sz w:val="14"/>
        </w:rPr>
        <w:t xml:space="preserve">python -m </w:t>
      </w:r>
      <w:proofErr w:type="spellStart"/>
      <w:r w:rsidRPr="000B3972">
        <w:rPr>
          <w:rFonts w:ascii="Courier New" w:eastAsia="Courier New" w:hAnsi="Courier New"/>
          <w:sz w:val="14"/>
        </w:rPr>
        <w:t>pytest</w:t>
      </w:r>
      <w:proofErr w:type="spellEnd"/>
      <w:r w:rsidRPr="000B3972">
        <w:rPr>
          <w:rFonts w:ascii="Courier New" w:eastAsia="Courier New" w:hAnsi="Courier New"/>
          <w:sz w:val="14"/>
        </w:rPr>
        <w:t xml:space="preserve"> -q</w:t>
      </w:r>
    </w:p>
    <w:p w14:paraId="66BAF745" w14:textId="77777777" w:rsidR="00E00B43" w:rsidRDefault="00000000">
      <w:r>
        <w:rPr>
          <w:rFonts w:eastAsia="Arial"/>
        </w:rPr>
        <w:t>The model manifest records the data and configuration SHA-256 hashes, Python and package versions, selected model, random seeds, and hashes of saved artifacts. Continuous integration runs repository and prediction smoke tests. The notebook presents the same sequence with explanatory text.</w:t>
      </w:r>
    </w:p>
    <w:p w14:paraId="2DACF1E7" w14:textId="77777777" w:rsidR="00E00B43" w:rsidRDefault="00000000">
      <w:r>
        <w:br w:type="page"/>
      </w:r>
    </w:p>
    <w:p w14:paraId="5EC8EA9B" w14:textId="77777777" w:rsidR="00E00B43" w:rsidRDefault="00000000">
      <w:pPr>
        <w:pStyle w:val="Heading1"/>
      </w:pPr>
      <w:r>
        <w:lastRenderedPageBreak/>
        <w:t>8 Conclusions and Next Steps</w:t>
      </w:r>
    </w:p>
    <w:p w14:paraId="5CDD2548" w14:textId="77777777" w:rsidR="00E00B43" w:rsidRDefault="00000000">
      <w:r>
        <w:rPr>
          <w:rFonts w:eastAsia="Arial"/>
        </w:rPr>
        <w:t>DIAL-ALERT demonstrates the complete machine-learning lifecycle on a real, industry-relevant dataset. The project frames an auditable clinical question, constructs a leakage-controlled cohort, compares multiple models, evaluates an untouched patient-disjoint test set, explains model behavior, audits available groups, tests mitigation, and translates performance into operational workload.</w:t>
      </w:r>
    </w:p>
    <w:p w14:paraId="2AEC275B" w14:textId="77777777" w:rsidR="00E00B43" w:rsidRDefault="00000000">
      <w:r>
        <w:rPr>
          <w:rFonts w:eastAsia="Arial"/>
        </w:rPr>
        <w:t>The main finding is useful but limited: the random forest concentrates 69.1% of observed BP-defined events within the highest-risk 20% of sessions. This supports further validation. It does not demonstrate prevented events, safer dialysis, reduced cost, or transportability to another centre.</w:t>
      </w:r>
    </w:p>
    <w:p w14:paraId="40AE8CA0" w14:textId="77777777" w:rsidR="00E00B43" w:rsidRDefault="00000000">
      <w:pPr>
        <w:pStyle w:val="Heading2"/>
      </w:pPr>
      <w:r>
        <w:t>Recommended Sequence</w:t>
      </w:r>
    </w:p>
    <w:p w14:paraId="0355A34E" w14:textId="77777777" w:rsidR="00E00B43" w:rsidRDefault="00000000">
      <w:pPr>
        <w:pStyle w:val="ListBullet"/>
        <w:spacing w:after="60"/>
      </w:pPr>
      <w:r>
        <w:rPr>
          <w:rFonts w:eastAsia="Arial"/>
        </w:rPr>
        <w:t>Validate the locked model on an external centre and a later time period without retuning.</w:t>
      </w:r>
    </w:p>
    <w:p w14:paraId="07669E43" w14:textId="77777777" w:rsidR="00E00B43" w:rsidRDefault="00000000">
      <w:pPr>
        <w:pStyle w:val="ListBullet"/>
        <w:spacing w:after="60"/>
      </w:pPr>
      <w:r>
        <w:rPr>
          <w:rFonts w:eastAsia="Arial"/>
        </w:rPr>
        <w:t>Collect symptoms, interventions, medication timing, broader comorbidities, and governed demographic attributes.</w:t>
      </w:r>
    </w:p>
    <w:p w14:paraId="06D2294A" w14:textId="77777777" w:rsidR="00E00B43" w:rsidRDefault="00000000">
      <w:pPr>
        <w:pStyle w:val="ListBullet"/>
        <w:spacing w:after="60"/>
      </w:pPr>
      <w:r>
        <w:rPr>
          <w:rFonts w:eastAsia="Arial"/>
        </w:rPr>
        <w:t>Run a prospective silent-mode study to measure data availability, calibration, workload, and drift.</w:t>
      </w:r>
    </w:p>
    <w:p w14:paraId="4786B128" w14:textId="77777777" w:rsidR="00E00B43" w:rsidRDefault="00000000">
      <w:pPr>
        <w:pStyle w:val="ListBullet"/>
        <w:spacing w:after="60"/>
      </w:pPr>
      <w:r>
        <w:rPr>
          <w:rFonts w:eastAsia="Arial"/>
        </w:rPr>
        <w:t>Prespecify subgroup and safety thresholds, clinician override, incident response, and rollback rules.</w:t>
      </w:r>
    </w:p>
    <w:p w14:paraId="15472AFE" w14:textId="77777777" w:rsidR="00E00B43" w:rsidRDefault="00000000">
      <w:pPr>
        <w:pStyle w:val="ListBullet"/>
        <w:spacing w:after="60"/>
      </w:pPr>
      <w:r>
        <w:rPr>
          <w:rFonts w:eastAsia="Arial"/>
        </w:rPr>
        <w:t>Only then test whether visible alerts change actions and improve patient outcomes in a controlled implementation study.</w:t>
      </w:r>
    </w:p>
    <w:p w14:paraId="6649157B" w14:textId="77777777" w:rsidR="00E00B43" w:rsidRDefault="00000000">
      <w:pPr>
        <w:pStyle w:val="Heading2"/>
      </w:pPr>
      <w:r>
        <w:t>Final Decision</w:t>
      </w:r>
    </w:p>
    <w:p w14:paraId="1CCA0D44" w14:textId="77777777" w:rsidR="00E00B43" w:rsidRDefault="00000000">
      <w:r>
        <w:rPr>
          <w:rFonts w:eastAsia="Arial"/>
        </w:rPr>
        <w:t>Continue DIAL-ALERT as a validation-stage clinical decision-support research project. Do not deploy it for patient-care decisions at this stage.</w:t>
      </w:r>
    </w:p>
    <w:p w14:paraId="0E6BADAB" w14:textId="77777777" w:rsidR="00E00B43" w:rsidRDefault="00000000">
      <w:r>
        <w:br w:type="page"/>
      </w:r>
    </w:p>
    <w:p w14:paraId="53F222EE" w14:textId="77777777" w:rsidR="00E00B43" w:rsidRDefault="00000000">
      <w:pPr>
        <w:pStyle w:val="Heading1"/>
      </w:pPr>
      <w:r>
        <w:lastRenderedPageBreak/>
        <w:t>References</w:t>
      </w:r>
    </w:p>
    <w:p w14:paraId="0B32EBF1" w14:textId="77777777" w:rsidR="00E00B43" w:rsidRDefault="00000000">
      <w:pPr>
        <w:spacing w:after="60"/>
        <w:ind w:left="288" w:hanging="288"/>
      </w:pPr>
      <w:r>
        <w:rPr>
          <w:rFonts w:eastAsia="Arial"/>
          <w:sz w:val="17"/>
        </w:rPr>
        <w:t>1. Lin CJ, Chen YY, Pan CF, Wu VC, Wu CJ. Dataset supporting blood pressure prediction for the management of chronic hemodialysis. Scientific Data. 2019;6:313. https://doi.org/10.1038/s41597-019-0319-8</w:t>
      </w:r>
    </w:p>
    <w:p w14:paraId="3B922A1C" w14:textId="77777777" w:rsidR="00E00B43" w:rsidRDefault="00000000">
      <w:pPr>
        <w:spacing w:after="60"/>
        <w:ind w:left="288" w:hanging="288"/>
      </w:pPr>
      <w:r>
        <w:rPr>
          <w:rFonts w:eastAsia="Arial"/>
          <w:sz w:val="17"/>
        </w:rPr>
        <w:t>2. Chien CY. HEMOBP Version 3. Figshare dataset. 2019. CC BY 4.0. https://doi.org/10.6084/m9.figshare.6260654.v3</w:t>
      </w:r>
    </w:p>
    <w:p w14:paraId="7166386E" w14:textId="77777777" w:rsidR="00E00B43" w:rsidRDefault="00000000">
      <w:pPr>
        <w:spacing w:after="60"/>
        <w:ind w:left="288" w:hanging="288"/>
      </w:pPr>
      <w:r>
        <w:rPr>
          <w:rFonts w:eastAsia="Arial"/>
          <w:sz w:val="17"/>
        </w:rPr>
        <w:t>3. Breiman L. Random forests. Machine Learning. 2001;45:5-32. https://doi.org/10.1023/A:1010933404324</w:t>
      </w:r>
    </w:p>
    <w:p w14:paraId="798FC001" w14:textId="77777777" w:rsidR="00E00B43" w:rsidRDefault="00000000">
      <w:pPr>
        <w:spacing w:after="60"/>
        <w:ind w:left="288" w:hanging="288"/>
      </w:pPr>
      <w:r>
        <w:rPr>
          <w:rFonts w:eastAsia="Arial"/>
          <w:sz w:val="17"/>
        </w:rPr>
        <w:t>4. Saito T, Rehmsmeier M. The precision-recall plot is more informative than the ROC plot when evaluating binary classifiers on imbalanced datasets. PLoS ONE. 2015;10:e0118432. https://doi.org/10.1371/journal.pone.0118432</w:t>
      </w:r>
    </w:p>
    <w:p w14:paraId="1AC5E3B9" w14:textId="77777777" w:rsidR="00E00B43" w:rsidRDefault="00000000">
      <w:pPr>
        <w:spacing w:after="60"/>
        <w:ind w:left="288" w:hanging="288"/>
      </w:pPr>
      <w:r>
        <w:rPr>
          <w:rFonts w:eastAsia="Arial"/>
          <w:sz w:val="17"/>
        </w:rPr>
        <w:t>5. Lundberg SM, Lee SI. A unified approach to interpreting model predictions. Advances in Neural Information Processing Systems. 2017;30. https://papers.nips.cc/paper/7062-a-unified-approach-to-interpreting-model-predictions</w:t>
      </w:r>
    </w:p>
    <w:p w14:paraId="34BDDF57" w14:textId="4A548721" w:rsidR="00E00B43" w:rsidRDefault="00000000">
      <w:pPr>
        <w:spacing w:after="60"/>
        <w:ind w:left="288" w:hanging="288"/>
      </w:pPr>
      <w:r>
        <w:rPr>
          <w:rFonts w:eastAsia="Arial"/>
          <w:sz w:val="17"/>
        </w:rPr>
        <w:t xml:space="preserve">6. Ribeiro MT, Singh S, Guestrin C. </w:t>
      </w:r>
      <w:r w:rsidR="005B6280" w:rsidRPr="005B6280">
        <w:rPr>
          <w:rFonts w:eastAsia="Arial"/>
          <w:sz w:val="17"/>
        </w:rPr>
        <w:t xml:space="preserve">"Why Should I Trust You?": Explaining the Predictions of Any </w:t>
      </w:r>
      <w:proofErr w:type="spellStart"/>
      <w:r w:rsidR="005B6280" w:rsidRPr="005B6280">
        <w:rPr>
          <w:rFonts w:eastAsia="Arial"/>
          <w:sz w:val="17"/>
        </w:rPr>
        <w:t>Classifier.</w:t>
      </w:r>
      <w:r w:rsidR="005B6280">
        <w:rPr>
          <w:rFonts w:eastAsia="Arial"/>
          <w:sz w:val="17"/>
        </w:rPr>
        <w:t xml:space="preserve"> </w:t>
      </w:r>
      <w:r>
        <w:rPr>
          <w:rFonts w:eastAsia="Arial"/>
          <w:sz w:val="17"/>
        </w:rPr>
        <w:t>Proceeding</w:t>
      </w:r>
      <w:proofErr w:type="spellEnd"/>
      <w:r>
        <w:rPr>
          <w:rFonts w:eastAsia="Arial"/>
          <w:sz w:val="17"/>
        </w:rPr>
        <w:t>s of KDD. 2016:1135-1144. https://doi.org/10.1145/2939672.2939778</w:t>
      </w:r>
    </w:p>
    <w:p w14:paraId="732DC9BF" w14:textId="4DAEA3BA" w:rsidR="00E00B43" w:rsidRDefault="00000000">
      <w:pPr>
        <w:spacing w:after="60"/>
        <w:ind w:left="288" w:hanging="288"/>
      </w:pPr>
      <w:r>
        <w:rPr>
          <w:rFonts w:eastAsia="Arial"/>
          <w:sz w:val="17"/>
        </w:rPr>
        <w:t xml:space="preserve">7. Goldstein A, Kapelner A, Bleich J, Pitkin E. </w:t>
      </w:r>
      <w:r w:rsidR="005B6280" w:rsidRPr="005B6280">
        <w:rPr>
          <w:rFonts w:eastAsia="Arial"/>
          <w:sz w:val="17"/>
        </w:rPr>
        <w:t>Peeking Inside the Black Box: Visualizing Statistical Learning With Plots of Individual Conditional Expectation</w:t>
      </w:r>
      <w:r>
        <w:rPr>
          <w:rFonts w:eastAsia="Arial"/>
          <w:sz w:val="17"/>
        </w:rPr>
        <w:t>. Journal of Computational and Graphical Statistics. 2015;24:44-65. https://doi.org/10.1080/10618600.2014.907095</w:t>
      </w:r>
    </w:p>
    <w:p w14:paraId="3EA1869E" w14:textId="77777777" w:rsidR="00E00B43" w:rsidRDefault="00000000">
      <w:pPr>
        <w:spacing w:after="60"/>
        <w:ind w:left="288" w:hanging="288"/>
      </w:pPr>
      <w:r>
        <w:rPr>
          <w:rFonts w:eastAsia="Arial"/>
          <w:sz w:val="17"/>
        </w:rPr>
        <w:t>8. Hardt M, Price E, Srebro N. Equality of opportunity in supervised learning. Advances in Neural Information Processing Systems. 2016;29. https://arxiv.org/abs/1610.02413</w:t>
      </w:r>
    </w:p>
    <w:p w14:paraId="55B63A55" w14:textId="77777777" w:rsidR="00E00B43" w:rsidRDefault="00000000">
      <w:pPr>
        <w:spacing w:after="60"/>
        <w:ind w:left="288" w:hanging="288"/>
      </w:pPr>
      <w:r>
        <w:rPr>
          <w:rFonts w:eastAsia="Arial"/>
          <w:sz w:val="17"/>
        </w:rPr>
        <w:t>9. World Health Organization. Ethics and governance of artificial intelligence for health. 2021. https://www.who.int/publications/i/item/9789240029200</w:t>
      </w:r>
    </w:p>
    <w:p w14:paraId="0CCF55B7" w14:textId="77777777" w:rsidR="005B6280" w:rsidRDefault="005B6280">
      <w:pPr>
        <w:spacing w:after="60"/>
        <w:ind w:left="288" w:hanging="288"/>
        <w:rPr>
          <w:rFonts w:eastAsia="Arial"/>
          <w:sz w:val="17"/>
        </w:rPr>
      </w:pPr>
      <w:r w:rsidRPr="005B6280">
        <w:rPr>
          <w:rFonts w:eastAsia="Arial"/>
          <w:sz w:val="17"/>
        </w:rPr>
        <w:t xml:space="preserve">10. Collins GS, Moons KGM, Dhiman P, Riley RD, Beam AL, Van </w:t>
      </w:r>
      <w:proofErr w:type="spellStart"/>
      <w:r w:rsidRPr="005B6280">
        <w:rPr>
          <w:rFonts w:eastAsia="Arial"/>
          <w:sz w:val="17"/>
        </w:rPr>
        <w:t>Calster</w:t>
      </w:r>
      <w:proofErr w:type="spellEnd"/>
      <w:r w:rsidRPr="005B6280">
        <w:rPr>
          <w:rFonts w:eastAsia="Arial"/>
          <w:sz w:val="17"/>
        </w:rPr>
        <w:t xml:space="preserve"> B, et al. TRIPOD+AI statement: updated guidance for reporting clinical prediction models that use regression or machine learning methods. BMJ. 2024;</w:t>
      </w:r>
      <w:proofErr w:type="gramStart"/>
      <w:r w:rsidRPr="005B6280">
        <w:rPr>
          <w:rFonts w:eastAsia="Arial"/>
          <w:sz w:val="17"/>
        </w:rPr>
        <w:t>385:e</w:t>
      </w:r>
      <w:proofErr w:type="gramEnd"/>
      <w:r w:rsidRPr="005B6280">
        <w:rPr>
          <w:rFonts w:eastAsia="Arial"/>
          <w:sz w:val="17"/>
        </w:rPr>
        <w:t xml:space="preserve">078378. </w:t>
      </w:r>
      <w:hyperlink r:id="rId21" w:tgtFrame="_new" w:history="1">
        <w:r w:rsidRPr="005B6280">
          <w:rPr>
            <w:rStyle w:val="Hyperlink"/>
            <w:rFonts w:eastAsia="Arial"/>
            <w:sz w:val="17"/>
          </w:rPr>
          <w:t>https://doi.org/10.1136/bmj-2023-078378</w:t>
        </w:r>
      </w:hyperlink>
    </w:p>
    <w:p w14:paraId="5B698355" w14:textId="664C0100" w:rsidR="00E00B43" w:rsidRDefault="00000000">
      <w:pPr>
        <w:spacing w:after="60"/>
        <w:ind w:left="288" w:hanging="288"/>
      </w:pPr>
      <w:r>
        <w:rPr>
          <w:rFonts w:eastAsia="Arial"/>
          <w:sz w:val="17"/>
        </w:rPr>
        <w:t>11. Flythe JE, Xue H, Lynch KE, Curhan GC, Brunelli SM. Association of mortality risk with various definitions of intradialytic hypotension. Journal of the American Society of Nephrology. 2015;26:724-734. https://doi.org/10.1681/ASN.2014020222</w:t>
      </w:r>
    </w:p>
    <w:p w14:paraId="79E03B94" w14:textId="77777777" w:rsidR="00E00B43" w:rsidRDefault="00000000">
      <w:r>
        <w:br w:type="page"/>
      </w:r>
    </w:p>
    <w:p w14:paraId="2A5A8598" w14:textId="77777777" w:rsidR="00E00B43" w:rsidRDefault="00000000">
      <w:pPr>
        <w:pStyle w:val="Heading1"/>
      </w:pPr>
      <w:r>
        <w:lastRenderedPageBreak/>
        <w:t>Appendix Project Evidence Map</w:t>
      </w:r>
    </w:p>
    <w:tbl>
      <w:tblPr>
        <w:tblW w:w="0" w:type="auto"/>
        <w:jc w:val="center"/>
        <w:tblLayout w:type="fixed"/>
        <w:tblLook w:val="04A0" w:firstRow="1" w:lastRow="0" w:firstColumn="1" w:lastColumn="0" w:noHBand="0" w:noVBand="1"/>
      </w:tblPr>
      <w:tblGrid>
        <w:gridCol w:w="3384"/>
        <w:gridCol w:w="6264"/>
      </w:tblGrid>
      <w:tr w:rsidR="00E00B43" w14:paraId="5E40B712" w14:textId="77777777">
        <w:trPr>
          <w:tblHeader/>
          <w:jc w:val="center"/>
        </w:trPr>
        <w:tc>
          <w:tcPr>
            <w:tcW w:w="3384" w:type="dxa"/>
            <w:tcBorders>
              <w:top w:val="single" w:sz="6" w:space="0" w:color="D9D9D9"/>
              <w:left w:val="single" w:sz="6" w:space="0" w:color="D9D9D9"/>
              <w:bottom w:val="single" w:sz="6" w:space="0" w:color="D9D9D9"/>
              <w:right w:val="single" w:sz="6" w:space="0" w:color="D9D9D9"/>
            </w:tcBorders>
            <w:shd w:val="clear" w:color="auto" w:fill="0B5C8E"/>
            <w:tcMar>
              <w:top w:w="90" w:type="dxa"/>
              <w:left w:w="100" w:type="dxa"/>
              <w:bottom w:w="90" w:type="dxa"/>
              <w:right w:w="100" w:type="dxa"/>
            </w:tcMar>
            <w:vAlign w:val="center"/>
          </w:tcPr>
          <w:p w14:paraId="6DC3D030" w14:textId="77777777" w:rsidR="00E00B43" w:rsidRDefault="00000000">
            <w:pPr>
              <w:jc w:val="center"/>
            </w:pPr>
            <w:r>
              <w:rPr>
                <w:rFonts w:eastAsia="Arial"/>
                <w:b/>
                <w:color w:val="FFFFFF"/>
                <w:sz w:val="16"/>
              </w:rPr>
              <w:t>Project step</w:t>
            </w:r>
          </w:p>
        </w:tc>
        <w:tc>
          <w:tcPr>
            <w:tcW w:w="6264" w:type="dxa"/>
            <w:tcBorders>
              <w:top w:val="single" w:sz="6" w:space="0" w:color="D9D9D9"/>
              <w:left w:val="single" w:sz="6" w:space="0" w:color="D9D9D9"/>
              <w:bottom w:val="single" w:sz="6" w:space="0" w:color="D9D9D9"/>
              <w:right w:val="single" w:sz="6" w:space="0" w:color="D9D9D9"/>
            </w:tcBorders>
            <w:shd w:val="clear" w:color="auto" w:fill="0B5C8E"/>
            <w:tcMar>
              <w:top w:w="90" w:type="dxa"/>
              <w:left w:w="100" w:type="dxa"/>
              <w:bottom w:w="90" w:type="dxa"/>
              <w:right w:w="100" w:type="dxa"/>
            </w:tcMar>
            <w:vAlign w:val="center"/>
          </w:tcPr>
          <w:p w14:paraId="0C16B594" w14:textId="77777777" w:rsidR="00E00B43" w:rsidRDefault="00000000">
            <w:pPr>
              <w:jc w:val="center"/>
            </w:pPr>
            <w:r>
              <w:rPr>
                <w:rFonts w:eastAsia="Arial"/>
                <w:b/>
                <w:color w:val="FFFFFF"/>
                <w:sz w:val="16"/>
              </w:rPr>
              <w:t>Evidence</w:t>
            </w:r>
          </w:p>
        </w:tc>
      </w:tr>
      <w:tr w:rsidR="00E00B43" w14:paraId="6229EF41" w14:textId="77777777">
        <w:trPr>
          <w:cantSplit/>
          <w:jc w:val="center"/>
        </w:trPr>
        <w:tc>
          <w:tcPr>
            <w:tcW w:w="3384"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73BC123D" w14:textId="77777777" w:rsidR="00E00B43" w:rsidRDefault="00000000">
            <w:r>
              <w:rPr>
                <w:rFonts w:eastAsia="Arial"/>
                <w:sz w:val="16"/>
              </w:rPr>
              <w:t>1 Problem Understanding and Framing</w:t>
            </w:r>
          </w:p>
        </w:tc>
        <w:tc>
          <w:tcPr>
            <w:tcW w:w="6264"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1114B329" w14:textId="77777777" w:rsidR="00E00B43" w:rsidRDefault="00000000">
            <w:r>
              <w:rPr>
                <w:rFonts w:eastAsia="Arial"/>
                <w:sz w:val="16"/>
              </w:rPr>
              <w:t>Clear clinical context, supervised task, target, technical metrics, operational KPIs, and evidence boundary</w:t>
            </w:r>
          </w:p>
        </w:tc>
      </w:tr>
      <w:tr w:rsidR="00E00B43" w14:paraId="42003B84" w14:textId="77777777">
        <w:trPr>
          <w:cantSplit/>
          <w:jc w:val="center"/>
        </w:trPr>
        <w:tc>
          <w:tcPr>
            <w:tcW w:w="3384"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7DCC75C3" w14:textId="77777777" w:rsidR="00E00B43" w:rsidRDefault="00000000">
            <w:r>
              <w:rPr>
                <w:rFonts w:eastAsia="Arial"/>
                <w:sz w:val="16"/>
              </w:rPr>
              <w:t>2 Data Collection and Understanding</w:t>
            </w:r>
          </w:p>
        </w:tc>
        <w:tc>
          <w:tcPr>
            <w:tcW w:w="6264"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27CEC249" w14:textId="77777777" w:rsidR="00E00B43" w:rsidRDefault="00000000">
            <w:r>
              <w:rPr>
                <w:rFonts w:eastAsia="Arial"/>
                <w:sz w:val="16"/>
              </w:rPr>
              <w:t>Peer-reviewed public dataset, license, checksums, cohort audit, complete dictionaries, and limitations</w:t>
            </w:r>
          </w:p>
        </w:tc>
      </w:tr>
      <w:tr w:rsidR="00E00B43" w14:paraId="783D7978" w14:textId="77777777">
        <w:trPr>
          <w:cantSplit/>
          <w:jc w:val="center"/>
        </w:trPr>
        <w:tc>
          <w:tcPr>
            <w:tcW w:w="3384"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1DF81E5B" w14:textId="77777777" w:rsidR="00E00B43" w:rsidRDefault="00000000">
            <w:r>
              <w:rPr>
                <w:rFonts w:eastAsia="Arial"/>
                <w:sz w:val="16"/>
              </w:rPr>
              <w:t>3 Preprocessing EDA and Feature Engineering</w:t>
            </w:r>
          </w:p>
        </w:tc>
        <w:tc>
          <w:tcPr>
            <w:tcW w:w="6264"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52B15602" w14:textId="77777777" w:rsidR="00E00B43" w:rsidRDefault="00000000">
            <w:r>
              <w:rPr>
                <w:rFonts w:eastAsia="Arial"/>
                <w:sz w:val="16"/>
              </w:rPr>
              <w:t>Nulls, duplicates, outliers, encoding, scaling, domain features, visual EDA, L1 selection, PCA, and explainability</w:t>
            </w:r>
          </w:p>
        </w:tc>
      </w:tr>
      <w:tr w:rsidR="00E00B43" w14:paraId="6DA2C2DF" w14:textId="77777777">
        <w:trPr>
          <w:cantSplit/>
          <w:jc w:val="center"/>
        </w:trPr>
        <w:tc>
          <w:tcPr>
            <w:tcW w:w="3384"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6969DC43" w14:textId="77777777" w:rsidR="00E00B43" w:rsidRDefault="00000000">
            <w:r>
              <w:rPr>
                <w:rFonts w:eastAsia="Arial"/>
                <w:sz w:val="16"/>
              </w:rPr>
              <w:t>4 Model Implementation and Comparison</w:t>
            </w:r>
          </w:p>
        </w:tc>
        <w:tc>
          <w:tcPr>
            <w:tcW w:w="6264"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1D33F74B" w14:textId="77777777" w:rsidR="00E00B43" w:rsidRDefault="00000000">
            <w:r>
              <w:rPr>
                <w:rFonts w:eastAsia="Arial"/>
                <w:sz w:val="16"/>
              </w:rPr>
              <w:t>Seven configurations, grouped tuning, locked selection rule, saved models, test metrics, intervals, and workload analysis</w:t>
            </w:r>
          </w:p>
        </w:tc>
      </w:tr>
      <w:tr w:rsidR="00E00B43" w14:paraId="411DCCBD" w14:textId="77777777">
        <w:trPr>
          <w:cantSplit/>
          <w:jc w:val="center"/>
        </w:trPr>
        <w:tc>
          <w:tcPr>
            <w:tcW w:w="3384"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181AE1EC" w14:textId="77777777" w:rsidR="00E00B43" w:rsidRDefault="00000000">
            <w:r>
              <w:rPr>
                <w:rFonts w:eastAsia="Arial"/>
                <w:sz w:val="16"/>
              </w:rPr>
              <w:t>5 Critical Thinking Ethical AI and Bias Auditing</w:t>
            </w:r>
          </w:p>
        </w:tc>
        <w:tc>
          <w:tcPr>
            <w:tcW w:w="6264"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5A59C66B" w14:textId="77777777" w:rsidR="00E00B43" w:rsidRDefault="00000000">
            <w:r>
              <w:rPr>
                <w:rFonts w:eastAsia="Arial"/>
                <w:sz w:val="16"/>
              </w:rPr>
              <w:t>SHAP, local surrogate, PDP and ICE, leakage and overfitting analysis, fairness metrics, uncertainty, and mitigation tests</w:t>
            </w:r>
          </w:p>
        </w:tc>
      </w:tr>
      <w:tr w:rsidR="00E00B43" w14:paraId="4605E468" w14:textId="77777777">
        <w:trPr>
          <w:cantSplit/>
          <w:jc w:val="center"/>
        </w:trPr>
        <w:tc>
          <w:tcPr>
            <w:tcW w:w="3384"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2F444EA5" w14:textId="77777777" w:rsidR="00E00B43" w:rsidRDefault="00000000">
            <w:r>
              <w:rPr>
                <w:rFonts w:eastAsia="Arial"/>
                <w:sz w:val="16"/>
              </w:rPr>
              <w:t>6 Final Presentation and Communication</w:t>
            </w:r>
          </w:p>
        </w:tc>
        <w:tc>
          <w:tcPr>
            <w:tcW w:w="6264" w:type="dxa"/>
            <w:tcBorders>
              <w:top w:val="single" w:sz="6" w:space="0" w:color="D9D9D9"/>
              <w:left w:val="single" w:sz="6" w:space="0" w:color="D9D9D9"/>
              <w:bottom w:val="single" w:sz="6" w:space="0" w:color="D9D9D9"/>
              <w:right w:val="single" w:sz="6" w:space="0" w:color="D9D9D9"/>
            </w:tcBorders>
            <w:shd w:val="clear" w:color="auto" w:fill="EAF3F8"/>
            <w:tcMar>
              <w:top w:w="90" w:type="dxa"/>
              <w:left w:w="100" w:type="dxa"/>
              <w:bottom w:w="90" w:type="dxa"/>
              <w:right w:w="100" w:type="dxa"/>
            </w:tcMar>
            <w:vAlign w:val="center"/>
          </w:tcPr>
          <w:p w14:paraId="6A89DD91" w14:textId="77777777" w:rsidR="00E00B43" w:rsidRDefault="00000000">
            <w:r>
              <w:rPr>
                <w:rFonts w:eastAsia="Arial"/>
                <w:sz w:val="16"/>
              </w:rPr>
              <w:t>Separate technical and business decks with notes, citations, ROI framework, risks, strategy, and pilot recommendation</w:t>
            </w:r>
          </w:p>
        </w:tc>
      </w:tr>
      <w:tr w:rsidR="00E00B43" w14:paraId="3C9281E9" w14:textId="77777777">
        <w:trPr>
          <w:cantSplit/>
          <w:jc w:val="center"/>
        </w:trPr>
        <w:tc>
          <w:tcPr>
            <w:tcW w:w="3384"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6B1856BA" w14:textId="77777777" w:rsidR="00E00B43" w:rsidRDefault="00000000">
            <w:r>
              <w:rPr>
                <w:rFonts w:eastAsia="Arial"/>
                <w:sz w:val="16"/>
              </w:rPr>
              <w:t>7 GitHub Profile and Upload</w:t>
            </w:r>
          </w:p>
        </w:tc>
        <w:tc>
          <w:tcPr>
            <w:tcW w:w="6264" w:type="dxa"/>
            <w:tcBorders>
              <w:top w:val="single" w:sz="6" w:space="0" w:color="D9D9D9"/>
              <w:left w:val="single" w:sz="6" w:space="0" w:color="D9D9D9"/>
              <w:bottom w:val="single" w:sz="6" w:space="0" w:color="D9D9D9"/>
              <w:right w:val="single" w:sz="6" w:space="0" w:color="D9D9D9"/>
            </w:tcBorders>
            <w:shd w:val="clear" w:color="auto" w:fill="FFFFFF"/>
            <w:tcMar>
              <w:top w:w="90" w:type="dxa"/>
              <w:left w:w="100" w:type="dxa"/>
              <w:bottom w:w="90" w:type="dxa"/>
              <w:right w:w="100" w:type="dxa"/>
            </w:tcMar>
            <w:vAlign w:val="center"/>
          </w:tcPr>
          <w:p w14:paraId="1FC3FB75" w14:textId="77777777" w:rsidR="00E00B43" w:rsidRDefault="00000000">
            <w:r>
              <w:rPr>
                <w:rFonts w:eastAsia="Arial"/>
                <w:sz w:val="16"/>
              </w:rPr>
              <w:t>Open-source structure, README, license, citation file, data acquisition, notebooks, tests, CI, final report, and reproducible commands</w:t>
            </w:r>
          </w:p>
        </w:tc>
      </w:tr>
    </w:tbl>
    <w:p w14:paraId="5B8E8948" w14:textId="77777777" w:rsidR="00E00B43" w:rsidRDefault="00E00B43">
      <w:pPr>
        <w:spacing w:after="20"/>
      </w:pPr>
    </w:p>
    <w:p w14:paraId="06356D7F" w14:textId="77777777" w:rsidR="00E00B43" w:rsidRDefault="00000000">
      <w:r>
        <w:br w:type="page"/>
      </w:r>
    </w:p>
    <w:p w14:paraId="4AB6488C" w14:textId="77777777" w:rsidR="00E00B43" w:rsidRDefault="00000000">
      <w:pPr>
        <w:pStyle w:val="Heading1"/>
      </w:pPr>
      <w:r>
        <w:lastRenderedPageBreak/>
        <w:t>Submission interpretation and evidence</w:t>
      </w:r>
    </w:p>
    <w:p w14:paraId="4E0A1187" w14:textId="77777777" w:rsidR="00E00B43" w:rsidRDefault="00000000">
      <w:pPr>
        <w:pStyle w:val="Heading2"/>
      </w:pPr>
      <w:r>
        <w:t>Outcome and eligibility</w:t>
      </w:r>
    </w:p>
    <w:p w14:paraId="734F4CBE" w14:textId="77777777" w:rsidR="00E00B43" w:rsidRDefault="00000000">
      <w:pPr>
        <w:spacing w:after="140"/>
      </w:pPr>
      <w:r>
        <w:rPr>
          <w:sz w:val="20"/>
        </w:rPr>
        <w:t>Predict any SBP below 90 mmHg after the earliest valid active-dialysis observation in minutes 0 to 30. Require index SBP at least 90, two distinct later measurement minutes, and last observed dialysis minute at least 120. The last requirement is anchored to dialysis time, not to prediction time. It is a retrospective eligibility criterion; short or interrupted sessions need separate prospective evaluation.</w:t>
      </w:r>
    </w:p>
    <w:p w14:paraId="44401A05" w14:textId="77777777" w:rsidR="00E00B43" w:rsidRDefault="00000000">
      <w:pPr>
        <w:pStyle w:val="Heading2"/>
      </w:pPr>
      <w:r>
        <w:t>Distinct operating strategies</w:t>
      </w:r>
    </w:p>
    <w:p w14:paraId="6A331B8A" w14:textId="77777777" w:rsidR="00E00B43" w:rsidRDefault="00000000">
      <w:pPr>
        <w:spacing w:after="140"/>
      </w:pPr>
      <w:r>
        <w:rPr>
          <w:sz w:val="20"/>
        </w:rPr>
        <w:t>The fixed threshold is 0.142855878 (rounded to 0.143), chosen by maximum F2 on a patient-disjoint validation decision subset: test sensitivity 66.1%, precision 30.6%, 18.3 reviews and 12.7 false alerts per 100 sessions. Reviewing the highest-risk 20% instead gives 69.1% recall, 29.4% precision and 14.1 false alerts per 100. A prospective capacity policy must define the comparison batch and tie handling before use.</w:t>
      </w:r>
    </w:p>
    <w:p w14:paraId="45B46249" w14:textId="77777777" w:rsidR="00E00B43" w:rsidRDefault="00000000">
      <w:pPr>
        <w:pStyle w:val="Heading2"/>
      </w:pPr>
      <w:r>
        <w:t>Model choice and uncertainty</w:t>
      </w:r>
    </w:p>
    <w:p w14:paraId="342B6C9A" w14:textId="77777777" w:rsidR="00E00B43" w:rsidRDefault="00000000">
      <w:pPr>
        <w:spacing w:after="140"/>
      </w:pPr>
      <w:r>
        <w:rPr>
          <w:sz w:val="20"/>
        </w:rPr>
        <w:t>Random forest was selected from candidates within 0.01 of the best grouped-CV average precision using validation Brier score. No post-hoc calibration was retained. An equally calibrated finalist comparison remains secondary work. The 21,354 test sessions come from only 170 patients. Patient-bootstrap 95% intervals: AP 0.306 to 0.478; ROC AUC 0.821 to 0.876; sensitivity at the fixed threshold 55.0% to 74.5%; recall at 20% capacity 63.2% to 74.4%.</w:t>
      </w:r>
    </w:p>
    <w:p w14:paraId="00F220DF" w14:textId="77777777" w:rsidR="00E00B43" w:rsidRDefault="00000000">
      <w:pPr>
        <w:pStyle w:val="Heading2"/>
      </w:pPr>
      <w:r>
        <w:t>Proposed future pilot targets</w:t>
      </w:r>
    </w:p>
    <w:p w14:paraId="63E3C514" w14:textId="77777777" w:rsidR="00E00B43" w:rsidRDefault="00000000">
      <w:pPr>
        <w:spacing w:after="140"/>
      </w:pPr>
      <w:r>
        <w:rPr>
          <w:sz w:val="20"/>
        </w:rPr>
        <w:t>Provisional targets, not demonstrated prospective results: detect at least 65% of later SBP-below-90 events, generate no more than 15 false alerts per 100 eligible sessions, and achieve median review time at most 2 minutes per displayed alert. Prespecify one operating policy, denominators, uncertainty and safety stopping rules with the local team before evaluation.</w:t>
      </w:r>
    </w:p>
    <w:p w14:paraId="340C87B4" w14:textId="77777777" w:rsidR="00E00B43" w:rsidRDefault="00000000">
      <w:r>
        <w:br w:type="page"/>
      </w:r>
    </w:p>
    <w:p w14:paraId="5FBED7DC" w14:textId="77777777" w:rsidR="00E00B43" w:rsidRDefault="00000000">
      <w:pPr>
        <w:pStyle w:val="Heading1"/>
      </w:pPr>
      <w:r>
        <w:lastRenderedPageBreak/>
        <w:t>Demonstration status and further research</w:t>
      </w:r>
    </w:p>
    <w:p w14:paraId="376BFA19" w14:textId="77777777" w:rsidR="00E00B43" w:rsidRDefault="00000000">
      <w:pPr>
        <w:pStyle w:val="Heading2"/>
      </w:pPr>
      <w:r>
        <w:t>Optional deployment evidence</w:t>
      </w:r>
    </w:p>
    <w:p w14:paraId="44666F7E" w14:textId="07508DC9" w:rsidR="00E00B43" w:rsidRDefault="00000000">
      <w:pPr>
        <w:spacing w:after="140"/>
      </w:pPr>
      <w:r>
        <w:rPr>
          <w:sz w:val="20"/>
        </w:rPr>
        <w:t xml:space="preserve">Step 8 includes a local Flask app, a synthetic request, a recorded HTTP demo and instructions. The app and command-line route apply the same prior-session-count transformation. This is a local inference demonstration; no clinical or cloud deployment is established. </w:t>
      </w:r>
      <w:r w:rsidR="005B6280" w:rsidRPr="005B6280">
        <w:rPr>
          <w:sz w:val="20"/>
        </w:rPr>
        <w:t>Step 9 includes an earlier saved-draft replay and a later live local AI assistant demonstration on the author’s Mac. Documented answer-quality limitations remain; citation and numeric checks do not establish semantic correctness</w:t>
      </w:r>
      <w:r>
        <w:rPr>
          <w:sz w:val="20"/>
        </w:rPr>
        <w:t>.</w:t>
      </w:r>
    </w:p>
    <w:p w14:paraId="28D00985" w14:textId="77777777" w:rsidR="00E00B43" w:rsidRDefault="00000000">
      <w:pPr>
        <w:pStyle w:val="Heading2"/>
      </w:pPr>
      <w:r>
        <w:t>Reproducibility status</w:t>
      </w:r>
    </w:p>
    <w:p w14:paraId="5009F780" w14:textId="77777777" w:rsidR="00E00B43" w:rsidRDefault="00000000">
      <w:pPr>
        <w:spacing w:after="140"/>
      </w:pPr>
      <w:r>
        <w:rPr>
          <w:sz w:val="20"/>
        </w:rPr>
        <w:t>A fresh end-to-end reproduction was successfully completed using Python 3.12 on 20 September 2026. The HEMOBP Version 3 source files were downloaded and checksum-verified, the session-level analytical dataset was rebuilt from the raw data, models were retrained and evaluated, EDA and fairness outputs were regenerated, and the automated test suite completed with 15 passed, 0 failed, and 0 skipped. The fresh run was numerically consistent with the locked reference results rather than byte-for-byte identical. Full details and numerical comparisons are recorded in docs/REPRODUCIBILITY_RECORD.md.</w:t>
      </w:r>
    </w:p>
    <w:p w14:paraId="2968CE94" w14:textId="77777777" w:rsidR="00E00B43" w:rsidRDefault="00000000">
      <w:pPr>
        <w:pStyle w:val="Heading2"/>
      </w:pPr>
      <w:r>
        <w:t>Secondary analyses awaiting execution</w:t>
      </w:r>
    </w:p>
    <w:p w14:paraId="34C9DEE1" w14:textId="77777777" w:rsidR="00E00B43" w:rsidRDefault="00000000">
      <w:pPr>
        <w:spacing w:after="140"/>
      </w:pPr>
      <w:r>
        <w:rPr>
          <w:sz w:val="20"/>
        </w:rPr>
        <w:t>Measure index-to-first-event warning time; compare a baseline-SBP plus prior-hypotension model; assess history ablation and first-observed sessions; compare both finalists with identical calibration splits and methods; and examine extreme UF/fluid-excess values and short-session exclusion. Prespecify analyses on development data, report them as exploratory, and do not replace the locked model based on repeated test-set comparisons.</w:t>
      </w:r>
    </w:p>
    <w:p w14:paraId="3F7832C8" w14:textId="77777777" w:rsidR="00E00B43" w:rsidRDefault="00000000">
      <w:pPr>
        <w:pStyle w:val="Heading2"/>
      </w:pPr>
      <w:r>
        <w:t>Future validation sequence</w:t>
      </w:r>
    </w:p>
    <w:p w14:paraId="014102B8" w14:textId="77777777" w:rsidR="00E00B43" w:rsidRDefault="00000000">
      <w:pPr>
        <w:spacing w:after="140"/>
      </w:pPr>
      <w:r>
        <w:rPr>
          <w:sz w:val="20"/>
        </w:rPr>
        <w:t>Validate the locked model at another center or in a later period, confirm exploratory fairness mitigation on fresh patients, then run silent predictions. Only after data quality and safety gates pass should supervised clinician review assess workload, actions, unintended effects, outcomes and costs. A 90-day schedule is illustrative and cannot establish clinical or financial benefit by itself.</w:t>
      </w:r>
    </w:p>
    <w:sectPr w:rsidR="00E00B43" w:rsidSect="00034616">
      <w:footerReference w:type="default" r:id="rId22"/>
      <w:pgSz w:w="12240" w:h="15840"/>
      <w:pgMar w:top="979" w:right="1037" w:bottom="979"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372D9CF" w14:textId="77777777" w:rsidR="00607B4E" w:rsidRDefault="00607B4E">
      <w:pPr>
        <w:spacing w:after="0" w:line="240" w:lineRule="auto"/>
      </w:pPr>
      <w:r>
        <w:separator/>
      </w:r>
    </w:p>
  </w:endnote>
  <w:endnote w:type="continuationSeparator" w:id="0">
    <w:p w14:paraId="5975D05F" w14:textId="77777777" w:rsidR="00607B4E" w:rsidRDefault="00607B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54658A" w14:textId="77777777" w:rsidR="00E00B43" w:rsidRDefault="00000000">
    <w:pPr>
      <w:pStyle w:val="Footer"/>
      <w:jc w:val="center"/>
    </w:pPr>
    <w:r>
      <w:rPr>
        <w:rFonts w:eastAsia="Arial"/>
        <w:color w:val="6B7280"/>
        <w:sz w:val="17"/>
      </w:rPr>
      <w:t xml:space="preserve">DIAL ALERT   |   Capstone Final Report   |   </w:t>
    </w:r>
    <w:r>
      <w:rPr>
        <w:rFonts w:eastAsia="Arial"/>
        <w:color w:val="6B7280"/>
        <w:sz w:val="17"/>
      </w:rPr>
      <w:fldChar w:fldCharType="begin"/>
    </w:r>
    <w:r>
      <w:rPr>
        <w:rFonts w:eastAsia="Arial"/>
        <w:color w:val="6B7280"/>
        <w:sz w:val="17"/>
      </w:rPr>
      <w:instrText xml:space="preserve"> PAGE </w:instrText>
    </w:r>
    <w:r>
      <w:rPr>
        <w:rFonts w:eastAsia="Arial"/>
        <w:color w:val="6B7280"/>
        <w:sz w:val="17"/>
      </w:rPr>
      <w:fldChar w:fldCharType="separate"/>
    </w:r>
    <w:r w:rsidR="000B3972">
      <w:rPr>
        <w:rFonts w:eastAsia="Arial"/>
        <w:noProof/>
        <w:color w:val="6B7280"/>
        <w:sz w:val="17"/>
      </w:rPr>
      <w:t>1</w:t>
    </w:r>
    <w:r>
      <w:rPr>
        <w:rFonts w:eastAsia="Arial"/>
        <w:color w:val="6B7280"/>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AE0256" w14:textId="77777777" w:rsidR="00607B4E" w:rsidRDefault="00607B4E">
      <w:pPr>
        <w:spacing w:after="0" w:line="240" w:lineRule="auto"/>
      </w:pPr>
      <w:r>
        <w:separator/>
      </w:r>
    </w:p>
  </w:footnote>
  <w:footnote w:type="continuationSeparator" w:id="0">
    <w:p w14:paraId="7066EDCA" w14:textId="77777777" w:rsidR="00607B4E" w:rsidRDefault="00607B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36669912">
    <w:abstractNumId w:val="8"/>
  </w:num>
  <w:num w:numId="2" w16cid:durableId="731541983">
    <w:abstractNumId w:val="6"/>
  </w:num>
  <w:num w:numId="3" w16cid:durableId="1466696273">
    <w:abstractNumId w:val="5"/>
  </w:num>
  <w:num w:numId="4" w16cid:durableId="70540997">
    <w:abstractNumId w:val="4"/>
  </w:num>
  <w:num w:numId="5" w16cid:durableId="942296950">
    <w:abstractNumId w:val="7"/>
  </w:num>
  <w:num w:numId="6" w16cid:durableId="1360204659">
    <w:abstractNumId w:val="3"/>
  </w:num>
  <w:num w:numId="7" w16cid:durableId="691541203">
    <w:abstractNumId w:val="2"/>
  </w:num>
  <w:num w:numId="8" w16cid:durableId="773673056">
    <w:abstractNumId w:val="1"/>
  </w:num>
  <w:num w:numId="9" w16cid:durableId="87392890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6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972"/>
    <w:rsid w:val="0015074B"/>
    <w:rsid w:val="00175B72"/>
    <w:rsid w:val="0029639D"/>
    <w:rsid w:val="00326F90"/>
    <w:rsid w:val="00406AC1"/>
    <w:rsid w:val="005B6280"/>
    <w:rsid w:val="00607B4E"/>
    <w:rsid w:val="006C5580"/>
    <w:rsid w:val="008B0EC8"/>
    <w:rsid w:val="00AA1D8D"/>
    <w:rsid w:val="00B000BA"/>
    <w:rsid w:val="00B47730"/>
    <w:rsid w:val="00BA2C98"/>
    <w:rsid w:val="00CB0664"/>
    <w:rsid w:val="00E00B4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3C519D"/>
  <w14:defaultImageDpi w14:val="300"/>
  <w15:docId w15:val="{CD56283F-AA4E-0A4A-BAA8-C9375D4DF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sz w:val="21"/>
    </w:rPr>
  </w:style>
  <w:style w:type="paragraph" w:styleId="Heading1">
    <w:name w:val="heading 1"/>
    <w:basedOn w:val="Normal"/>
    <w:next w:val="Normal"/>
    <w:link w:val="Heading1Char"/>
    <w:uiPriority w:val="9"/>
    <w:qFormat/>
    <w:rsid w:val="00FC693F"/>
    <w:pPr>
      <w:keepNext/>
      <w:keepLines/>
      <w:spacing w:before="160" w:after="160"/>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b/>
      <w:bCs/>
      <w:sz w:val="27"/>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b/>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Theme="majorHAnsi" w:eastAsiaTheme="majorEastAsia" w:hAnsiTheme="majorHAnsi" w:cstheme="majorBidi"/>
      <w:i/>
      <w:iCs/>
      <w:color w:val="6B728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6B728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B6280"/>
    <w:rPr>
      <w:color w:val="0000FF" w:themeColor="hyperlink"/>
      <w:u w:val="single"/>
    </w:rPr>
  </w:style>
  <w:style w:type="character" w:styleId="UnresolvedMention">
    <w:name w:val="Unresolved Mention"/>
    <w:basedOn w:val="DefaultParagraphFont"/>
    <w:uiPriority w:val="99"/>
    <w:semiHidden/>
    <w:unhideWhenUsed/>
    <w:rsid w:val="005B62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doi.org/10.1136/bmj-2023-078378"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23</Pages>
  <Words>4226</Words>
  <Characters>24091</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DIAL ALERT Capstone Final Report</vt:lpstr>
    </vt:vector>
  </TitlesOfParts>
  <Manager/>
  <Company/>
  <LinksUpToDate>false</LinksUpToDate>
  <CharactersWithSpaces>28261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DIAL ALERT Capstone Final Report</dc:title>
  <dc:subject>End to end machine learning capstone</dc:subject>
  <dc:creator>Franklin B. Guillano</dc:creator>
  <cp:keywords>haemodialysis, intradialytic hypotension, machine learning, fairness</cp:keywords>
  <dc:description>DIAL-ALERT academic capstone</dc:description>
  <cp:lastModifiedBy>Franklin Guillano</cp:lastModifiedBy>
  <cp:revision>5</cp:revision>
  <dcterms:created xsi:type="dcterms:W3CDTF">2026-09-23T06:49:00Z</dcterms:created>
  <dcterms:modified xsi:type="dcterms:W3CDTF">2026-09-23T07:08:00Z</dcterms:modified>
  <cp:category/>
</cp:coreProperties>
</file>