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</w:t>
      </w:r>
      <w:r>
        <w:t xml:space="preserve"> </w:t>
      </w:r>
      <w:r>
        <w:t xml:space="preserve">(Sujet</w:t>
      </w:r>
      <w:r>
        <w:t xml:space="preserve"> </w:t>
      </w:r>
      <w:r>
        <w:t xml:space="preserve">3)</w:t>
      </w:r>
      <w:r>
        <w:t xml:space="preserve"> </w:t>
      </w:r>
      <w:r>
        <w:t xml:space="preserve">—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Statistiques</w:t>
      </w:r>
      <w:r>
        <w:t xml:space="preserve"> </w:t>
      </w:r>
      <w:r>
        <w:t xml:space="preserve">descriptives</w:t>
      </w:r>
      <w:r>
        <w:t xml:space="preserve"> </w:t>
      </w:r>
      <w:r>
        <w:t xml:space="preserve">·</w:t>
      </w:r>
      <w:r>
        <w:t xml:space="preserve"> </w:t>
      </w:r>
      <w:r>
        <w:t xml:space="preserve">Variables</w:t>
      </w:r>
      <w:r>
        <w:t xml:space="preserve"> </w:t>
      </w:r>
      <w:r>
        <w:t xml:space="preserve">aléatoires</w:t>
      </w:r>
      <w:r>
        <w:t xml:space="preserve"> </w:t>
      </w:r>
      <w:r>
        <w:t xml:space="preserve">à</w:t>
      </w:r>
      <w:r>
        <w:t xml:space="preserve"> </w:t>
      </w:r>
      <w:r>
        <w:t xml:space="preserve">densité</w:t>
      </w:r>
      <w:r>
        <w:t xml:space="preserve"> </w:t>
      </w:r>
      <w:r>
        <w:t xml:space="preserve">·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Durée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h</w:t>
      </w:r>
      <w:r>
        <w:rPr>
          <w:bCs/>
          <w:b/>
        </w:rPr>
        <w:t xml:space="preserve"> </w:t>
      </w:r>
      <w:r>
        <w:rPr>
          <w:bCs/>
          <w:b/>
        </w:rPr>
        <w:t xml:space="preserve">30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documents</w:t>
      </w:r>
      <w:r>
        <w:t xml:space="preserve"> </w:t>
      </w:r>
      <w:r>
        <w:t xml:space="preserve">de</w:t>
      </w:r>
      <w:r>
        <w:t xml:space="preserve"> </w:t>
      </w:r>
      <w:r>
        <w:t xml:space="preserve">cours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interdits</w:t>
      </w:r>
      <w:r>
        <w:t xml:space="preserve">.</w:t>
      </w:r>
      <w:r>
        <w:t xml:space="preserve"> </w:t>
      </w:r>
      <w:r>
        <w:t xml:space="preserve">Une</w:t>
      </w:r>
      <w:r>
        <w:t xml:space="preserve"> </w:t>
      </w:r>
      <w:r>
        <w:t xml:space="preserve">table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est</w:t>
      </w:r>
      <w:r>
        <w:t xml:space="preserve"> </w:t>
      </w:r>
      <w:r>
        <w:t xml:space="preserve">fournie.</w:t>
      </w:r>
      <w:r>
        <w:t xml:space="preserve"> </w:t>
      </w:r>
      <w:r>
        <w:t xml:space="preserve">Les</w:t>
      </w:r>
      <w:r>
        <w:t xml:space="preserve"> </w:t>
      </w:r>
      <w:r>
        <w:t xml:space="preserve">calculatrices</w:t>
      </w:r>
      <w:r>
        <w:t xml:space="preserve"> </w:t>
      </w:r>
      <w:r>
        <w:t xml:space="preserve">sont</w:t>
      </w:r>
      <w:r>
        <w:t xml:space="preserve"> </w:t>
      </w:r>
      <w:r>
        <w:t xml:space="preserve">autorisées.</w:t>
      </w:r>
      <w:r>
        <w:t xml:space="preserve"> </w:t>
      </w:r>
      <w:r>
        <w:t xml:space="preserve">Toute</w:t>
      </w:r>
      <w:r>
        <w:t xml:space="preserve"> </w:t>
      </w:r>
      <w:r>
        <w:t xml:space="preserve">réponse</w:t>
      </w:r>
      <w:r>
        <w:t xml:space="preserve"> </w:t>
      </w:r>
      <w:r>
        <w:t xml:space="preserve">doit</w:t>
      </w:r>
      <w:r>
        <w:t xml:space="preserve"> </w:t>
      </w:r>
      <w:r>
        <w:t xml:space="preserve">être</w:t>
      </w:r>
      <w:r>
        <w:t xml:space="preserve"> </w:t>
      </w:r>
      <w:r>
        <w:rPr>
          <w:bCs/>
          <w:b/>
        </w:rPr>
        <w:t xml:space="preserve">justifiée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résultats</w:t>
      </w:r>
      <w:r>
        <w:t xml:space="preserve"> </w:t>
      </w:r>
      <w:r>
        <w:t xml:space="preserve">numériques</w:t>
      </w:r>
      <w:r>
        <w:t xml:space="preserve"> </w:t>
      </w:r>
      <w:r>
        <w:t xml:space="preserve">seront</w:t>
      </w:r>
      <w:r>
        <w:t xml:space="preserve"> </w:t>
      </w:r>
      <w:r>
        <w:t xml:space="preserve">arrondis</w:t>
      </w:r>
      <w:r>
        <w:t xml:space="preserve"> </w:t>
      </w:r>
      <w:r>
        <w:t xml:space="preserve">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près.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30 pts · Exercice 2 — 35 pts · Exercice 3 — 35 pts</w:t>
      </w:r>
    </w:p>
    <w:p>
      <w:r>
        <w:pict>
          <v:rect style="width:0;height:1.5pt" o:hralign="center" o:hrstd="t" o:hr="t"/>
        </w:pict>
      </w:r>
    </w:p>
    <w:bookmarkStart w:id="22" w:name="Xfccd592e24640188c0f115adf4b28d9d75faec0"/>
    <w:p>
      <w:pPr>
        <w:pStyle w:val="Heading2"/>
      </w:pPr>
      <w:r>
        <w:t xml:space="preserve">Exercice 1 — Statistiques descriptives (30 points)</w:t>
      </w:r>
    </w:p>
    <w:bookmarkStart w:id="20" w:name="partie-a-série-discrète-18-points"/>
    <w:p>
      <w:pPr>
        <w:pStyle w:val="Heading3"/>
      </w:pPr>
      <w:r>
        <w:t xml:space="preserve">Partie A — Série discrète (18 points)</w:t>
      </w:r>
    </w:p>
    <w:p>
      <w:pPr>
        <w:pStyle w:val="FirstParagraph"/>
      </w:pPr>
      <w:r>
        <w:t xml:space="preserve">Un service administratif relève le nombre d’erreurs de saisie par dossier sur</w:t>
      </w:r>
      <w:r>
        <w:t xml:space="preserve"> </w:t>
      </w:r>
      <w:r>
        <w:t xml:space="preserve">40 dossiers. Les résultats sont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Erreurs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Effectif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Fréquence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E.C.C.</w:t>
            </w:r>
            <w:r>
              <w:t xml:space="preserve"> </w:t>
            </w:r>
            <m:oMath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F.C.C.</w:t>
            </w:r>
            <w:r>
              <w:t xml:space="preserve"> </w:t>
            </w:r>
            <m:oMath>
              <m:sSubSup>
                <m:e>
                  <m:r>
                    <m:t>F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Compléter le tableau ci-dessus (fréquences, effectifs cumulés</w:t>
      </w:r>
      <w:r>
        <w:t xml:space="preserve"> </w:t>
      </w:r>
      <w:r>
        <w:t xml:space="preserve">croissants et fréquences cumulées croissantes).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Donner le mode, la médiane</w:t>
      </w:r>
      <w:r>
        <w:t xml:space="preserve"> </w:t>
      </w:r>
      <m:oMath>
        <m:r>
          <m:t>M</m:t>
        </m:r>
        <m:r>
          <m:t>e</m:t>
        </m:r>
      </m:oMath>
      <w:r>
        <w:t xml:space="preserve">, le premier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, le</w:t>
      </w:r>
      <w:r>
        <w:t xml:space="preserve"> </w:t>
      </w:r>
      <w:r>
        <w:t xml:space="preserve">troisième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 et l’écart interquartile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Q</m:t>
        </m:r>
        <m:r>
          <m:rPr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 la moyenne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la moyenne des carrés</w:t>
      </w:r>
      <w:r>
        <w:t xml:space="preserve"> </w:t>
      </w:r>
      <m:oMath>
        <m:bar>
          <m:barPr>
            <m:pos m:val="top"/>
          </m:bar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bar>
      </m:oMath>
      <w:r>
        <w:t xml:space="preserve">, puis la variance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par la</w:t>
      </w:r>
      <w:r>
        <w:t xml:space="preserve"> </w:t>
      </w:r>
      <w:r>
        <w:rPr>
          <w:bCs/>
          <w:b/>
        </w:rPr>
        <w:t xml:space="preserve">formule de</w:t>
      </w:r>
      <w:r>
        <w:rPr>
          <w:bCs/>
          <w:b/>
        </w:rPr>
        <w:t xml:space="preserve"> </w:t>
      </w:r>
      <w:r>
        <w:rPr>
          <w:bCs/>
          <w:b/>
        </w:rPr>
        <w:t xml:space="preserve">König-Huygens</w:t>
      </w:r>
      <w:r>
        <w:t xml:space="preserve"> </w:t>
      </w:r>
      <w:r>
        <w:t xml:space="preserve">et l’écart-type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On définit la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. Sans effectuer de nouveaux</w:t>
      </w:r>
      <w:r>
        <w:t xml:space="preserve"> </w:t>
      </w:r>
      <w:r>
        <w:t xml:space="preserve">calculs, donner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c1d90aa52659a89ab1be1e11e265869bad25306"/>
    <w:p>
      <w:pPr>
        <w:pStyle w:val="Heading3"/>
      </w:pPr>
      <w:r>
        <w:t xml:space="preserve">Partie B — Série continue en classes (12 points)</w:t>
      </w:r>
    </w:p>
    <w:p>
      <w:pPr>
        <w:pStyle w:val="FirstParagraph"/>
      </w:pPr>
      <w:r>
        <w:t xml:space="preserve">Le temps de réponse (en secondes) d’un site web est mesuré sur 50 requêtes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Temps (s)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t>6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10</m:t>
              </m:r>
              <m:r>
                <m:rPr>
                  <m:sty m:val="p"/>
                </m:rPr>
                <m:t>[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Effectif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 les fréquences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 les amplitudes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et les</w:t>
      </w:r>
      <w:r>
        <w:t xml:space="preserve"> </w:t>
      </w:r>
      <w:r>
        <w:t xml:space="preserve">densités de fréquence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 Expliquer en une phrase pourquoi on</w:t>
      </w:r>
      <w:r>
        <w:t xml:space="preserve"> </w:t>
      </w:r>
      <w:r>
        <w:t xml:space="preserve">utilise les densités et non les fréquences comme hauteurs d’un histogramme</w:t>
      </w:r>
      <w:r>
        <w:t xml:space="preserve"> </w:t>
      </w:r>
      <w:r>
        <w:t xml:space="preserve">lorsque les classes ont des amplitudes inégales.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Déterminer la médiane par interpolation linéaire, puis calculer</w:t>
      </w:r>
      <w:r>
        <w:t xml:space="preserve"> </w:t>
      </w:r>
      <w:r>
        <w:t xml:space="preserve">la moyenne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et la variance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à l’aide des</w:t>
      </w:r>
      <w:r>
        <w:t xml:space="preserve"> </w:t>
      </w:r>
      <w:r>
        <w:rPr>
          <w:bCs/>
          <w:b/>
        </w:rPr>
        <w:t xml:space="preserve">centres</w:t>
      </w:r>
      <w:r>
        <w:rPr>
          <w:bCs/>
          <w:b/>
        </w:rPr>
        <w:t xml:space="preserve"> </w:t>
      </w:r>
      <w:r>
        <w:rPr>
          <w:bCs/>
          <w:b/>
        </w:rPr>
        <w:t xml:space="preserve">de classe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4e4a7e683ca1cf4f03592b6949daef2b68d11a3"/>
    <w:p>
      <w:pPr>
        <w:pStyle w:val="Heading2"/>
      </w:pPr>
      <w:r>
        <w:t xml:space="preserve">Exercice 2 — Variable aléatoire à densité (35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la fonction définie 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par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  <m:r>
                      <m:t> </m:t>
                    </m:r>
                    <m:r>
                      <m:t>x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Vérifier que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pour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On admet que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  <w:r>
        <w:t xml:space="preserve"> </w:t>
      </w:r>
      <w:r>
        <w:t xml:space="preserve">Déterminer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pour que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soit une</w:t>
      </w:r>
      <w:r>
        <w:t xml:space="preserve"> </w:t>
      </w:r>
      <w:r>
        <w:rPr>
          <w:bCs/>
          <w:b/>
        </w:rPr>
        <w:t xml:space="preserve">densité de probabilité</w:t>
      </w:r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Soit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une v.a.r. de densité</w:t>
      </w:r>
      <w:r>
        <w:t xml:space="preserve"> </w:t>
      </w:r>
      <m:oMath>
        <m:r>
          <m:t>f</m:t>
        </m:r>
      </m:oMath>
      <w:r>
        <w:t xml:space="preserve">. Déterminer la</w:t>
      </w:r>
      <w:r>
        <w:t xml:space="preserve"> </w:t>
      </w:r>
      <w:r>
        <w:rPr>
          <w:bCs/>
          <w:b/>
        </w:rPr>
        <w:t xml:space="preserve">fonction de</w:t>
      </w:r>
      <w:r>
        <w:rPr>
          <w:bCs/>
          <w:b/>
        </w:rPr>
        <w:t xml:space="preserve"> </w:t>
      </w:r>
      <w:r>
        <w:rPr>
          <w:bCs/>
          <w:b/>
        </w:rPr>
        <w:t xml:space="preserve">répartition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 On distinguera les cas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et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Vérifier que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puis 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en utilisant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On admet que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symétrique par rapport à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au sens où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 </w:t>
      </w:r>
      <w:r>
        <w:t xml:space="preserve">pour tout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Vérifier cette propriété de symétrie.</w:t>
      </w:r>
    </w:p>
    <w:p>
      <w:pPr>
        <w:numPr>
          <w:ilvl w:val="0"/>
          <w:numId w:val="1001"/>
        </w:numPr>
        <w:pStyle w:val="Compact"/>
      </w:pPr>
      <w:r>
        <w:t xml:space="preserve">En déduire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sans calcul d’intégrale.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par le</w:t>
      </w:r>
      <w:r>
        <w:t xml:space="preserve"> </w:t>
      </w:r>
      <w:r>
        <w:rPr>
          <w:bCs/>
          <w:b/>
        </w:rPr>
        <w:t xml:space="preserve">théorème de transfert</w:t>
      </w:r>
      <w:r>
        <w:t xml:space="preserve">,</w:t>
      </w:r>
      <w:r>
        <w:t xml:space="preserve"> </w:t>
      </w:r>
      <w:r>
        <w:t xml:space="preserve">puis déduire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par la formule de König-Huygens.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Soit</w:t>
      </w:r>
      <w:r>
        <w:t xml:space="preserve"> </w:t>
      </w:r>
      <m:oMath>
        <m:r>
          <m:t>T</m:t>
        </m:r>
        <m:r>
          <m:rPr>
            <m:sty m:val="p"/>
          </m:rPr>
          <m:t>∼</m:t>
        </m:r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</w:t>
      </w:r>
      <w:r>
        <w:t xml:space="preserve">la durée (en heures) entre</w:t>
      </w:r>
      <w:r>
        <w:t xml:space="preserve"> </w:t>
      </w:r>
      <w:r>
        <w:t xml:space="preserve">deux pannes d’un système informatique. On observe que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r>
                <m:t>3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Déterminer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puis 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7" w:name="exercice-3-loi-normale-35-points"/>
    <w:p>
      <w:pPr>
        <w:pStyle w:val="Heading2"/>
      </w:pPr>
      <w:r>
        <w:t xml:space="preserve">Exercice 3 — Loi normale (35 points)</w:t>
      </w:r>
    </w:p>
    <w:bookmarkStart w:id="24" w:name="X147d5ab53a3b74abaf5de7a75e890c9e933a797"/>
    <w:p>
      <w:pPr>
        <w:pStyle w:val="Heading3"/>
      </w:pPr>
      <w:r>
        <w:t xml:space="preserve">Partie A — Loi normale centrée réduite (10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On rappelle :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a</m:t>
            </m:r>
          </m:e>
        </m:d>
        <m:r>
          <m:rPr>
            <m:sty m:val="p"/>
          </m:rPr>
          <m:t>=</m:t>
        </m:r>
        <m:r>
          <m:t>2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 les probabilités suivantes :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96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67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50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2</m:t>
            </m:r>
            <m:r>
              <m:rPr>
                <m:sty m:val="p"/>
              </m:rPr>
              <m:t>,</m:t>
            </m:r>
            <m:r>
              <m:t>33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Déterminer les réels suivants par lecture inverse de la table :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8413</m:t>
        </m:r>
      </m:oMath>
      <w:r>
        <w:t xml:space="preserve">,</w:t>
      </w:r>
    </w:p>
    <w:p>
      <w:pPr>
        <w:numPr>
          <w:ilvl w:val="0"/>
          <w:numId w:val="1003"/>
        </w:numPr>
        <w:pStyle w:val="Compact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≤</m:t>
            </m:r>
            <m:r>
              <m:t>d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artie-b-loi-normale-générale-17-points"/>
    <w:p>
      <w:pPr>
        <w:pStyle w:val="Heading3"/>
      </w:pPr>
      <w:r>
        <w:t xml:space="preserve">Partie B — Loi normale générale (17 points)</w:t>
      </w:r>
    </w:p>
    <w:p>
      <w:pPr>
        <w:pStyle w:val="FirstParagraph"/>
      </w:pPr>
      <w:r>
        <w:t xml:space="preserve">La masse (en grammes) d’un sachet de café suit une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250</m:t>
            </m:r>
            <m:r>
              <m:rPr>
                <m:sty m:val="p"/>
              </m:rPr>
              <m:t>,</m:t>
            </m:r>
            <m:r>
              <m:t> </m:t>
            </m:r>
            <m:r>
              <m:t>100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(1 pt)</w:t>
      </w:r>
      <w:r>
        <w:t xml:space="preserve"> </w:t>
      </w:r>
      <w:r>
        <w:t xml:space="preserve">Donner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Calculer :</w:t>
      </w:r>
    </w:p>
    <w:p>
      <w:pPr>
        <w:numPr>
          <w:ilvl w:val="0"/>
          <w:numId w:val="1004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265</m:t>
            </m:r>
          </m:e>
        </m:d>
      </m:oMath>
      <w:r>
        <w:t xml:space="preserve">,</w:t>
      </w:r>
    </w:p>
    <w:p>
      <w:pPr>
        <w:numPr>
          <w:ilvl w:val="0"/>
          <w:numId w:val="1004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235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260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Déterminer le seuil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s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On prélève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sachets indépendants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de</w:t>
      </w:r>
      <w:r>
        <w:t xml:space="preserve"> </w:t>
      </w:r>
      <w:r>
        <w:t xml:space="preserve">même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250</m:t>
            </m:r>
            <m:r>
              <m:rPr>
                <m:sty m:val="p"/>
              </m:rPr>
              <m:t>,</m:t>
            </m:r>
            <m:r>
              <m:t> </m:t>
            </m:r>
            <m:r>
              <m:t>100</m:t>
            </m:r>
          </m:e>
        </m:d>
      </m:oMath>
      <w:r>
        <w:t xml:space="preserve">. On note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la</w:t>
      </w:r>
      <w:r>
        <w:t xml:space="preserve"> </w:t>
      </w:r>
      <w:r>
        <w:t xml:space="preserve">masse totale.</w:t>
      </w:r>
    </w:p>
    <w:p>
      <w:pPr>
        <w:numPr>
          <w:ilvl w:val="0"/>
          <w:numId w:val="1005"/>
        </w:numPr>
        <w:pStyle w:val="Compact"/>
      </w:pPr>
      <w:r>
        <w:t xml:space="preserve">Donner la loi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(paramètres inclus).</w:t>
      </w:r>
    </w:p>
    <w:p>
      <w:pPr>
        <w:numPr>
          <w:ilvl w:val="0"/>
          <w:numId w:val="1005"/>
        </w:numPr>
        <w:pStyle w:val="Compact"/>
      </w:pP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&gt;</m:t>
            </m:r>
            <m:r>
              <m:t>1030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f0ce554300671a44940235467ca45c162c81504"/>
    <w:p>
      <w:pPr>
        <w:pStyle w:val="Heading3"/>
      </w:pPr>
      <w:r>
        <w:t xml:space="preserve">Partie C — Identification des paramètres (8 points)</w:t>
      </w:r>
    </w:p>
    <w:p>
      <w:pPr>
        <w:pStyle w:val="FirstParagraph"/>
      </w:pPr>
      <w:r>
        <w:t xml:space="preserve">La durée de vie (en heures) d’un composant électronique suit une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On sait que :</w:t>
      </w:r>
    </w:p>
    <w:p>
      <w:pPr>
        <w:numPr>
          <w:ilvl w:val="0"/>
          <w:numId w:val="1006"/>
        </w:numPr>
        <w:pStyle w:val="Compact"/>
      </w:pPr>
      <w:r>
        <w:t xml:space="preserve">84,13 % des composants ont une durée de vie inférieure à</w:t>
      </w:r>
      <w:r>
        <w:t xml:space="preserve"> </w:t>
      </w:r>
      <w:r>
        <w:rPr>
          <w:bCs/>
          <w:b/>
        </w:rPr>
        <w:t xml:space="preserve">540 heures</w:t>
      </w:r>
      <w:r>
        <w:t xml:space="preserve">,</w:t>
      </w:r>
    </w:p>
    <w:p>
      <w:pPr>
        <w:numPr>
          <w:ilvl w:val="0"/>
          <w:numId w:val="1006"/>
        </w:numPr>
        <w:pStyle w:val="Compact"/>
      </w:pPr>
      <w:r>
        <w:t xml:space="preserve">97,72 % des composants ont une durée de vie inférieure à</w:t>
      </w:r>
      <w:r>
        <w:t xml:space="preserve"> </w:t>
      </w:r>
      <w:r>
        <w:rPr>
          <w:bCs/>
          <w:b/>
        </w:rPr>
        <w:t xml:space="preserve">560 heures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En traduisant chacune de ces conditions en termes de</w:t>
      </w:r>
      <w:r>
        <w:t xml:space="preserve"> </w:t>
      </w:r>
      <m:oMath>
        <m:r>
          <m:t>Φ</m:t>
        </m:r>
      </m:oMath>
      <w:r>
        <w:t xml:space="preserve">,</w:t>
      </w:r>
      <w:r>
        <w:t xml:space="preserve"> </w:t>
      </w:r>
      <w:r>
        <w:t xml:space="preserve">former un système de deux équations 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</m:oMath>
      <w:r>
        <w:t xml:space="preserve">, puis déterminer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</m:oMath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(Sujet 3) — Statistiques et Probabilités</dc:title>
  <dc:creator/>
  <dc:language>fr</dc:language>
  <cp:keywords/>
  <dcterms:created xsi:type="dcterms:W3CDTF">2026-05-11T21:18:49Z</dcterms:created>
  <dcterms:modified xsi:type="dcterms:W3CDTF">2026-05-11T21:18:49Z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Durée : 1 h 30. Les documents de cours sont interdits. Une table de la loi normale \mathcal{N}(0,1) est fournie. Les calculatrices sont autorisées. Toute réponse doit être justifiée. Les résultats numériques seront arrondis à 10^{-3} près.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2026-03-25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stats-prob</vt:lpwstr>
  </property>
  <property fmtid="{D5CDD505-2E9C-101B-9397-08002B2CF9AE}" pid="11" name="subtitle">
    <vt:lpwstr>Statistiques descriptives · Variables aléatoires à densité · Loi normale</vt:lpwstr>
  </property>
  <property fmtid="{D5CDD505-2E9C-101B-9397-08002B2CF9AE}" pid="12" name="toc-title">
    <vt:lpwstr>Table des matières</vt:lpwstr>
  </property>
</Properties>
</file>