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 — Diagnostic Financier Retraité</w:t>
      </w:r>
    </w:p>
    <w:p>
      <w:pPr>
        <w:pStyle w:val="Subtitle"/>
      </w:pPr>
      <w:r>
        <w:t xml:space="preserve">Étude de cas SOLSTICE SAS</w:t>
      </w:r>
    </w:p>
    <w:p>
      <w:pPr>
        <w:pStyle w:val="Date"/>
      </w:pPr>
      <w:r>
        <w:t xml:space="preserve">2026-10-15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Contrôle final d’une heure. À partir d’états financiers complets, vous</w:t>
      </w:r>
      <w:r>
        <w:t xml:space="preserve"> </w:t>
      </w:r>
      <w:r>
        <w:t xml:space="preserve">retraitez les données comptables pour produire le résultat net récurrent,</w:t>
      </w:r>
      <w:r>
        <w:t xml:space="preserve"> </w:t>
      </w:r>
      <w:r>
        <w:t xml:space="preserve">les capitaux propres retraités et l’endettement financier retraité —</w:t>
      </w:r>
      <w:r>
        <w:t xml:space="preserve"> </w:t>
      </w:r>
      <w:r>
        <w:t xml:space="preserve">trois grandeurs fondamentales du diagnostic crédit.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/>
                <w:bCs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/>
                <w:bCs/>
              </w:rPr>
              <w:t xml:space="preserve">25 %</w:t>
            </w:r>
            <w:r>
              <w:t xml:space="preserve">. Arrondissez au k€ entier.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2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/>
          <w:bCs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/>
          <w:bCs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/>
          <w:bCs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12"/>
    <w:bookmarkStart w:id="21" w:name="documents-financiers"/>
    <w:p>
      <w:pPr>
        <w:pStyle w:val="Heading1"/>
      </w:pPr>
      <w:r>
        <w:t xml:space="preserve">Documents financiers</w:t>
      </w:r>
    </w:p>
    <w:bookmarkStart w:id="13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Goodwill net</w:t>
            </w:r>
            <w:r>
              <w:t xml:space="preserve"> </w:t>
            </w:r>
            <w:r>
              <w:rPr>
                <w:i/>
                <w:iCs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/>
                <w:iCs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/>
                <w:iCs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bookmarkEnd w:id="13"/>
    <w:bookmarkStart w:id="14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/>
                <w:iCs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/>
                <w:iCs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/>
                <w:iCs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0" w:name="annexes"/>
    <w:p>
      <w:pPr>
        <w:pStyle w:val="Heading2"/>
      </w:pPr>
      <w:r>
        <w:t xml:space="preserve">Annexes</w:t>
      </w:r>
    </w:p>
    <w:bookmarkStart w:id="15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/>
          <w:bCs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/>
          <w:bCs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/>
          <w:bCs/>
        </w:rPr>
        <w:t xml:space="preserve">Achats et charges externes</w:t>
      </w:r>
      <w:r>
        <w:t xml:space="preserve"> </w:t>
      </w:r>
      <w:r>
        <w:rPr>
          <w:i/>
          <w:iCs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15"/>
    <w:bookmarkStart w:id="16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/>
          <w:iCs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/>
          <w:bCs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non récurrente</w:t>
      </w:r>
      <w:r>
        <w:t xml:space="preserve">.</w:t>
      </w:r>
    </w:p>
    <w:bookmarkEnd w:id="16"/>
    <w:bookmarkStart w:id="17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/>
          <w:bCs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/>
          <w:bCs/>
        </w:rPr>
        <w:t xml:space="preserve">n’a pas encore été virée en</w:t>
      </w:r>
      <w:r>
        <w:rPr>
          <w:b/>
          <w:bCs/>
        </w:rPr>
        <w:t xml:space="preserve"> </w:t>
      </w:r>
      <w:r>
        <w:rPr>
          <w:b/>
          <w:bCs/>
        </w:rPr>
        <w:t xml:space="preserve">résultat</w:t>
      </w:r>
      <w:r>
        <w:t xml:space="preserve"> </w:t>
      </w:r>
      <w:r>
        <w:t xml:space="preserve">à la clôture de N.</w:t>
      </w:r>
    </w:p>
    <w:bookmarkEnd w:id="17"/>
    <w:bookmarkStart w:id="18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/>
          <w:iCs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/>
          <w:bCs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/>
          <w:iCs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/>
          <w:bCs/>
        </w:rPr>
        <w:t xml:space="preserve">100 k€ en N</w:t>
      </w:r>
      <w:r>
        <w:t xml:space="preserve">.</w:t>
      </w:r>
    </w:p>
    <w:bookmarkEnd w:id="18"/>
    <w:bookmarkStart w:id="19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/>
          <w:iCs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/>
          <w:bCs/>
        </w:rPr>
        <w:t xml:space="preserve">amortissements</w:t>
      </w:r>
      <w:r>
        <w:rPr>
          <w:b/>
          <w:bCs/>
        </w:rPr>
        <w:t xml:space="preserve"> </w:t>
      </w:r>
      <w:r>
        <w:rPr>
          <w:b/>
          <w:bCs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/>
          <w:bCs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6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2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/>
          <w:bCs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2"/>
    <w:bookmarkStart w:id="23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/>
          <w:iCs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/>
          <w:bCs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Opération</w:t>
            </w:r>
          </w:p>
        </w:tc>
        <w:tc>
          <w:tcPr/>
          <w:p>
            <w:pPr>
              <w:pStyle w:val="Compac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/>
          <w:iCs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3"/>
    <w:bookmarkStart w:id="24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pStyle w:val="Compact"/>
        <w:numPr>
          <w:ilvl w:val="0"/>
          <w:numId w:val="1002"/>
        </w:numPr>
      </w:pPr>
      <w:r>
        <w:t xml:space="preserve">RCAI retraité CB + neutralisation de la restructuration =</w:t>
      </w:r>
      <w:r>
        <w:t xml:space="preserve"> </w:t>
      </w:r>
      <w:r>
        <w:rPr>
          <w:b/>
          <w:bCs/>
        </w:rPr>
        <w:t xml:space="preserve">RCAI récurrent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Compact"/>
        <w:numPr>
          <w:ilvl w:val="0"/>
          <w:numId w:val="1002"/>
        </w:numPr>
      </w:pPr>
      <w:r>
        <w:t xml:space="preserve">IS normatif (25 %) sur le RCAI récurrent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RNR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4"/>
    <w:bookmarkStart w:id="25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/>
          <w:bCs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7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/>
          <w:iCs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/>
          <w:bCs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/>
          <w:bCs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/>
          <w:iCs/>
        </w:rPr>
        <w:t xml:space="preserve">(0 pts — commentaire attendu</w:t>
      </w:r>
      <w:r>
        <w:rPr>
          <w:i/>
          <w:iCs/>
        </w:rPr>
        <w:t xml:space="preserve"> </w:t>
      </w:r>
      <w:r>
        <w:rPr>
          <w:i/>
          <w:iCs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27"/>
    <w:bookmarkStart w:id="31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/>
          <w:iCs/>
        </w:rPr>
        <w:t xml:space="preserve">(8 pts)</w:t>
      </w:r>
    </w:p>
    <w:bookmarkStart w:id="28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/>
          <w:bCs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/>
                <w:iCs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pts)</w:t>
      </w:r>
    </w:p>
    <w:bookmarkEnd w:id="28"/>
    <w:bookmarkStart w:id="29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/>
          <w:bCs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/>
          <w:iCs/>
        </w:rPr>
        <w:t xml:space="preserve">(2 pts)</w:t>
      </w:r>
    </w:p>
    <w:bookmarkEnd w:id="29"/>
    <w:bookmarkStart w:id="30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/>
          <w:iCs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9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/>
          <w:iCs/>
        </w:rPr>
        <w:t xml:space="preserve">(10 points, ~10 min)</w:t>
      </w:r>
    </w:p>
    <w:bookmarkStart w:id="33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Compact"/>
        <w:numPr>
          <w:ilvl w:val="0"/>
          <w:numId w:val="1003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33"/>
    <w:bookmarkStart w:id="34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/>
          <w:bCs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/>
          <w:bCs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/>
          <w:bCs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Barème récapitulatif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en</dc:language>
  <cp:keywords/>
  <dcterms:created xsi:type="dcterms:W3CDTF">2026-10-15T08:06:03Z</dcterms:created>
  <dcterms:modified xsi:type="dcterms:W3CDTF">2026-10-15T08:06:03Z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2026-10-15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Étude de cas SOLSTICE SAS</vt:lpwstr>
  </property>
  <property fmtid="{D5CDD505-2E9C-101B-9397-08002B2CF9AE}" pid="11" name="toc-title">
    <vt:lpwstr>Table of contents</vt:lpwstr>
  </property>
</Properties>
</file>