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  <w:r>
        <w:t xml:space="preserve"> </w:t>
      </w:r>
      <w:r>
        <w:t xml:space="preserve">—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</w:p>
    <w:p>
      <w:pPr>
        <w:pStyle w:val="Subtitle"/>
      </w:pPr>
      <w:r>
        <w:t xml:space="preserve">Analyse</w:t>
      </w:r>
      <w:r>
        <w:t xml:space="preserve"> </w:t>
      </w:r>
      <w:r>
        <w:t xml:space="preserve">financière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Convergence</w:t>
      </w:r>
      <w:r>
        <w:t xml:space="preserve"> </w:t>
      </w:r>
      <w:r>
        <w:t xml:space="preserve">et</w:t>
      </w:r>
      <w:r>
        <w:t xml:space="preserve"> </w:t>
      </w:r>
      <w:r>
        <w:t xml:space="preserve">estimation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Corrigé</w:t>
      </w:r>
      <w:r>
        <w:t xml:space="preserve"> </w:t>
      </w:r>
      <w:r>
        <w:t xml:space="preserve">complet</w:t>
      </w:r>
      <w:r>
        <w:t xml:space="preserve"> </w:t>
      </w:r>
      <w:r>
        <w:t xml:space="preserve">de</w:t>
      </w:r>
      <w:r>
        <w:t xml:space="preserve"> </w:t>
      </w:r>
      <w:r>
        <w:t xml:space="preserve">l’examen</w:t>
      </w:r>
      <w:r>
        <w:t xml:space="preserve"> </w:t>
      </w:r>
      <w:r>
        <w:rPr>
          <w:rStyle w:val="VerbatimChar"/>
        </w:rPr>
        <w:t xml:space="preserve">exam-final-2</w:t>
      </w:r>
      <w:r>
        <w:t xml:space="preserve">.</w:t>
      </w:r>
      <w:r>
        <w:t xml:space="preserve"> </w:t>
      </w:r>
      <w:r>
        <w:t xml:space="preserve">Toutes</w:t>
      </w:r>
      <w:r>
        <w:t xml:space="preserve"> </w:t>
      </w:r>
      <w:r>
        <w:t xml:space="preserve">les</w:t>
      </w:r>
      <w:r>
        <w:t xml:space="preserve"> </w:t>
      </w:r>
      <w:r>
        <w:t xml:space="preserve">étapes</w:t>
      </w:r>
      <w:r>
        <w:t xml:space="preserve"> </w:t>
      </w:r>
      <w:r>
        <w:t xml:space="preserve">de</w:t>
      </w:r>
      <w:r>
        <w:t xml:space="preserve"> </w:t>
      </w:r>
      <w:r>
        <w:t xml:space="preserve">calcul</w:t>
      </w:r>
      <w:r>
        <w:t xml:space="preserve"> </w:t>
      </w:r>
      <w:r>
        <w:t xml:space="preserve">sont</w:t>
      </w:r>
      <w:r>
        <w:t xml:space="preserve"> </w:t>
      </w:r>
      <w:r>
        <w:t xml:space="preserve">détaillées</w:t>
      </w:r>
      <w:r>
        <w:t xml:space="preserve"> </w:t>
      </w:r>
      <w:r>
        <w:t xml:space="preserve">;</w:t>
      </w:r>
      <w:r>
        <w:t xml:space="preserve"> </w:t>
      </w:r>
      <w:r>
        <w:t xml:space="preserve">les</w:t>
      </w:r>
      <w:r>
        <w:t xml:space="preserve"> </w:t>
      </w:r>
      <w:r>
        <w:t xml:space="preserve">réponses</w:t>
      </w:r>
      <w:r>
        <w:t xml:space="preserve"> </w:t>
      </w:r>
      <w:r>
        <w:t xml:space="preserve">encadrées</w:t>
      </w:r>
      <w:r>
        <w:t xml:space="preserve"> </w:t>
      </w:r>
      <w:r>
        <w:t xml:space="preserve">correspondent</w:t>
      </w:r>
      <w:r>
        <w:t xml:space="preserve"> </w:t>
      </w:r>
      <w:r>
        <w:t xml:space="preserve">aux</w:t>
      </w:r>
      <w:r>
        <w:t xml:space="preserve"> </w:t>
      </w:r>
      <w:r>
        <w:t xml:space="preserve">valeurs</w:t>
      </w:r>
      <w:r>
        <w:t xml:space="preserve"> </w:t>
      </w:r>
      <w:r>
        <w:t xml:space="preserve">à</w:t>
      </w:r>
      <w:r>
        <w:t xml:space="preserve"> </w:t>
      </w:r>
      <w:r>
        <w:t xml:space="preserve">retenir.</w:t>
      </w:r>
    </w:p>
    <w:p>
      <w:r>
        <w:pict>
          <v:rect style="width:0;height:1.5pt" o:hralign="center" o:hrstd="t" o:hr="t"/>
        </w:pict>
      </w:r>
    </w:p>
    <w:bookmarkStart w:id="22" w:name="X24e44dc93eaa0504332d150f053423b1d0b2cac"/>
    <w:p>
      <w:pPr>
        <w:pStyle w:val="Heading2"/>
      </w:pPr>
      <w:r>
        <w:t xml:space="preserve">Exercice 1 — Analyse financière bivariée (30 points)</w:t>
      </w:r>
    </w:p>
    <w:bookmarkStart w:id="20" w:name="Xd5029f5e4fb405168367a1f5496ccfc3cad442a"/>
    <w:p>
      <w:pPr>
        <w:pStyle w:val="Heading3"/>
      </w:pPr>
      <w:r>
        <w:t xml:space="preserve">Partie A — Profil investisseur et performance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Fréquences marginales et distribution conditionnelle.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Ancienneté :</w:t>
      </w:r>
      <w:r>
        <w:t xml:space="preserve"> </w:t>
      </w:r>
      <w:r>
        <w:t xml:space="preserve">100/200 =</w:t>
      </w:r>
      <w:r>
        <w:t xml:space="preserve"> </w:t>
      </w:r>
      <w:r>
        <w:rPr>
          <w:bCs/>
          <w:b/>
        </w:rPr>
        <w:t xml:space="preserve">50 %</w:t>
      </w:r>
      <w:r>
        <w:t xml:space="preserve"> </w:t>
      </w:r>
      <w:r>
        <w:t xml:space="preserve">Junior et</w:t>
      </w:r>
      <w:r>
        <w:t xml:space="preserve"> </w:t>
      </w:r>
      <w:r>
        <w:rPr>
          <w:bCs/>
          <w:b/>
        </w:rPr>
        <w:t xml:space="preserve">50 %</w:t>
      </w:r>
      <w:r>
        <w:t xml:space="preserve"> </w:t>
      </w:r>
      <w:r>
        <w:t xml:space="preserve">Senior.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:</w:t>
      </w:r>
      <w:r>
        <w:t xml:space="preserve"> </w:t>
      </w:r>
      <w:r>
        <w:t xml:space="preserve">Perte = 40/200 =</w:t>
      </w:r>
      <w:r>
        <w:t xml:space="preserve"> </w:t>
      </w:r>
      <w:r>
        <w:rPr>
          <w:bCs/>
          <w:b/>
        </w:rPr>
        <w:t xml:space="preserve">20 %</w:t>
      </w:r>
      <w:r>
        <w:t xml:space="preserve">, Neutre = 80/200 =</w:t>
      </w:r>
      <w:r>
        <w:t xml:space="preserve"> </w:t>
      </w:r>
      <w:r>
        <w:rPr>
          <w:bCs/>
          <w:b/>
        </w:rPr>
        <w:t xml:space="preserve">40 %</w:t>
      </w:r>
      <w:r>
        <w:t xml:space="preserve">, Gain = 80/200 =</w:t>
      </w:r>
      <w:r>
        <w:t xml:space="preserve"> </w:t>
      </w:r>
      <w:r>
        <w:rPr>
          <w:bCs/>
          <w:b/>
        </w:rPr>
        <w:t xml:space="preserve">40 %</w:t>
      </w:r>
      <w:r>
        <w:t xml:space="preserve">.</w:t>
      </w:r>
    </w:p>
    <w:p>
      <w:pPr>
        <w:pStyle w:val="FirstParagraph"/>
      </w:pPr>
      <w:r>
        <w:t xml:space="preserve">Distribution conditionnelle de la performance pour les gérants</w:t>
      </w:r>
      <w:r>
        <w:t xml:space="preserve"> </w:t>
      </w:r>
      <w:r>
        <w:rPr>
          <w:bCs/>
          <w:b/>
        </w:rPr>
        <w:t xml:space="preserve">Juniors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Perte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26/100 =</w:t>
            </w:r>
            <w:r>
              <w:t xml:space="preserve"> </w:t>
            </w:r>
            <w:r>
              <w:rPr>
                <w:bCs/>
                <w:b/>
              </w:rPr>
              <w:t xml:space="preserve">26 %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43/100 =</w:t>
            </w:r>
            <w:r>
              <w:t xml:space="preserve"> </w:t>
            </w:r>
            <w:r>
              <w:rPr>
                <w:bCs/>
                <w:b/>
              </w:rPr>
              <w:t xml:space="preserve">43 %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31/100 =</w:t>
            </w:r>
            <w:r>
              <w:t xml:space="preserve"> </w:t>
            </w:r>
            <w:r>
              <w:rPr>
                <w:bCs/>
                <w:b/>
              </w:rPr>
              <w:t xml:space="preserve">31 %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14/100 =</w:t>
            </w:r>
            <w:r>
              <w:t xml:space="preserve"> </w:t>
            </w:r>
            <w:r>
              <w:rPr>
                <w:bCs/>
                <w:b/>
              </w:rPr>
              <w:t xml:space="preserve">14 %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37/100 =</w:t>
            </w:r>
            <w:r>
              <w:t xml:space="preserve"> </w:t>
            </w:r>
            <w:r>
              <w:rPr>
                <w:bCs/>
                <w:b/>
              </w:rPr>
              <w:t xml:space="preserve">37 %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49/100 =</w:t>
            </w:r>
            <w:r>
              <w:t xml:space="preserve"> </w:t>
            </w:r>
            <w:r>
              <w:rPr>
                <w:bCs/>
                <w:b/>
              </w:rPr>
              <w:t xml:space="preserve">49 %</w:t>
            </w:r>
          </w:p>
        </w:tc>
      </w:tr>
    </w:tbl>
    <w:p>
      <w:pPr>
        <w:pStyle w:val="BodyText"/>
      </w:pPr>
      <w:r>
        <w:t xml:space="preserve">Les gérants Juniors obtiennent plus souvent des pertes (26 % vs 14 %) et moins souvent des gains (31 % vs 49 %) que les Seniors, ce qui suggère un lien entre ancienneté et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Probabilités conditionnelles et marginales.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Perte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Junior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Gain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Senior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Gain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80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6125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Effectifs théoriques sous l’hypothèse d’indépendance.</w:t>
      </w:r>
    </w:p>
    <w:p>
      <w:pPr>
        <w:pStyle w:val="BodyText"/>
      </w:pPr>
      <w:r>
        <w:t xml:space="preserve">Formule 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total ligne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m:t>total colonne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num>
          <m:den>
            <m:r>
              <m:t>n</m:t>
            </m:r>
          </m:den>
        </m:f>
      </m:oMath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67"/>
        <w:gridCol w:w="2084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Perte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40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40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40</m:t>
              </m:r>
            </m:oMath>
          </w:p>
        </w:tc>
      </w:tr>
    </w:tbl>
    <w:p>
      <w:pPr>
        <w:pStyle w:val="BodyText"/>
      </w:pPr>
      <w:r>
        <w:t xml:space="preserve">Tous les effectifs théoriques sont égaux à 20 ou 40, donc</w:t>
      </w:r>
      <w:r>
        <w:t xml:space="preserve"> </w:t>
      </w:r>
      <w:r>
        <w:rPr>
          <w:bCs/>
          <w:b/>
        </w:rPr>
        <w:t xml:space="preserve">tous ≥ 5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. Les conditions d’application du test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sont vérifiées.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Statistique du test</w:t>
      </w:r>
      <w:r>
        <w:rPr>
          <w:bCs/>
          <w:b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Le tableau des termes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o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67"/>
        <w:gridCol w:w="2084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Perte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025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025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800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025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,</m:t>
          </m:r>
          <m:r>
            <m:t>050</m:t>
          </m:r>
          <m:r>
            <m:rPr>
              <m:sty m:val="p"/>
            </m:rPr>
            <m:t>=</m:t>
          </m:r>
          <m:borderBox>
            <m:e>
              <m:r>
                <m:t>8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borderBox>
        </m:oMath>
      </m:oMathPara>
    </w:p>
    <w:p>
      <w:pPr>
        <w:pStyle w:val="FirstParagraph"/>
      </w:pPr>
      <w:r>
        <w:t xml:space="preserve">Le nombre de degrés de liberté est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. Comme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,</m:t>
        </m:r>
        <m:r>
          <m:t>991</m:t>
        </m:r>
        <m:r>
          <m:rPr>
            <m:sty m:val="p"/>
          </m:rPr>
          <m:t>=</m:t>
        </m:r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</m:oMath>
      <w:r>
        <w:t xml:space="preserve">, on</w:t>
      </w:r>
      <w:r>
        <w:t xml:space="preserve"> </w:t>
      </w:r>
      <w:r>
        <w:rPr>
          <w:bCs/>
          <w:b/>
        </w:rPr>
        <w:t xml:space="preserve">rejette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au seuil 5 % : il existe un lien significatif entre le profil du gérant et la performance.</w:t>
      </w:r>
    </w:p>
    <w:p>
      <w:pPr>
        <w:pStyle w:val="BodyText"/>
      </w:pPr>
      <w:r>
        <w:t xml:space="preserve">La colonne</w:t>
      </w:r>
      <w:r>
        <w:t xml:space="preserve"> </w:t>
      </w:r>
      <w:r>
        <w:rPr>
          <w:bCs/>
          <w:b/>
        </w:rPr>
        <w:t xml:space="preserve">Gain</w:t>
      </w:r>
      <w:r>
        <w:t xml:space="preserve"> </w:t>
      </w:r>
      <w:r>
        <w:t xml:space="preserve">contribue le plus (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025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soit 50 % du total), indiquant que les seniors surperforment les juniors sur ce critère.</w:t>
      </w:r>
    </w:p>
    <w:p>
      <w:r>
        <w:pict>
          <v:rect style="width:0;height:1.5pt" o:hralign="center" o:hrstd="t" o:hr="t"/>
        </w:pict>
      </w:r>
    </w:p>
    <w:bookmarkEnd w:id="20"/>
    <w:bookmarkStart w:id="21" w:name="X8a2224f391b79380309d3e39b44729f7658d734"/>
    <w:p>
      <w:pPr>
        <w:pStyle w:val="Heading3"/>
      </w:pPr>
      <w:r>
        <w:t xml:space="preserve">Partie B — Volatilité et rendement sectoriel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Statistiques descriptives.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3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8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−</m:t>
          </m:r>
          <m:r>
            <m:t>45</m:t>
          </m:r>
          <m:r>
            <m:rPr>
              <m:sty m:val="p"/>
            </m:rPr>
            <m:t>=</m:t>
          </m:r>
          <m:borderBox>
            <m:e>
              <m:r>
                <m:t>10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147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=</m:t>
          </m:r>
          <m:r>
            <m:t>147</m:t>
          </m:r>
          <m:r>
            <m:rPr>
              <m:sty m:val="p"/>
            </m:rPr>
            <m:t>−</m:t>
          </m:r>
          <m:r>
            <m:t>120</m:t>
          </m:r>
          <m:r>
            <m:rPr>
              <m:sty m:val="p"/>
            </m:rPr>
            <m:t>=</m:t>
          </m:r>
          <m:borderBox>
            <m:e>
              <m:r>
                <m:t>27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394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64</m:t>
          </m:r>
          <m:r>
            <m:rPr>
              <m:sty m:val="p"/>
            </m:rPr>
            <m:t>=</m:t>
          </m:r>
          <m:r>
            <m:t>394</m:t>
          </m:r>
          <m:r>
            <m:rPr>
              <m:sty m:val="p"/>
            </m:rPr>
            <m:t>−</m:t>
          </m:r>
          <m:r>
            <m:t>320</m:t>
          </m:r>
          <m:r>
            <m:rPr>
              <m:sty m:val="p"/>
            </m:rPr>
            <m:t>=</m:t>
          </m:r>
          <m:borderBox>
            <m:e>
              <m:r>
                <m:t>74</m:t>
              </m:r>
            </m:e>
          </m:borderBox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Droite de régression.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b</m:t>
              </m:r>
            </m:e>
          </m:acc>
          <m:r>
            <m:t> 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t> </m:t>
              </m:r>
              <m:r>
                <m:t>x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Interprétation :</w:t>
      </w:r>
      <w:r>
        <w:t xml:space="preserve"> </w:t>
      </w:r>
      <w:r>
        <w:t xml:space="preserve">chaque point de volatilité supplémentaire est associé en moyenne à une augmentation de</w:t>
      </w:r>
      <w:r>
        <w:t xml:space="preserve"> </w:t>
      </w:r>
      <w:r>
        <w:rPr>
          <w:bCs/>
          <w:b/>
        </w:rPr>
        <w:t xml:space="preserve">2,7 points de pourcentage</w:t>
      </w:r>
      <w:r>
        <w:t xml:space="preserve"> </w:t>
      </w:r>
      <w:r>
        <w:t xml:space="preserve">du rendement sectoriel.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Coefficient de corrélation et coefficient de détermination.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74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740</m:t>
                  </m:r>
                </m:e>
              </m:ra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27</m:t>
              </m:r>
              <m:r>
                <m:rPr>
                  <m:sty m:val="p"/>
                </m:rPr>
                <m:t>,</m:t>
              </m:r>
              <m:r>
                <m:t>203</m:t>
              </m:r>
            </m:den>
          </m:f>
          <m:r>
            <m:rPr>
              <m:sty m:val="p"/>
            </m:rPr>
            <m:t>≈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9925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729</m:t>
              </m:r>
            </m:num>
            <m:den>
              <m:r>
                <m:t>740</m:t>
              </m:r>
            </m:den>
          </m:f>
          <m:r>
            <m:rPr>
              <m:sty m:val="p"/>
            </m:rPr>
            <m:t>≈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985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 coefficient de 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98</m:t>
        </m:r>
        <m:r>
          <m:rPr>
            <m:sty m:val="p"/>
          </m:rPr>
          <m:t>,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indique que le modèle linéaire explique</w:t>
      </w:r>
      <w:r>
        <w:t xml:space="preserve"> </w:t>
      </w:r>
      <w:r>
        <w:rPr>
          <w:bCs/>
          <w:b/>
        </w:rPr>
        <w:t xml:space="preserve">98,5 %</w:t>
      </w:r>
      <w:r>
        <w:t xml:space="preserve"> </w:t>
      </w:r>
      <w:r>
        <w:t xml:space="preserve">de la variance du rendement : l’ajustement est excellent.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Prédiction pour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=</m:t>
          </m:r>
          <m:borderBox>
            <m:e>
              <m:r>
                <m:t>16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%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Discussion 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est légèrement en dehors de l’intervalle d’observation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 </w:t>
      </w:r>
      <w:r>
        <w:t xml:space="preserve">— c’est une</w:t>
      </w:r>
      <w:r>
        <w:t xml:space="preserve"> </w:t>
      </w:r>
      <w:r>
        <w:rPr>
          <w:bCs/>
          <w:b/>
        </w:rPr>
        <w:t xml:space="preserve">extrapolation</w:t>
      </w:r>
      <w:r>
        <w:t xml:space="preserve">. Le modèle reste vraisemblable à cette échelle (très proche de la plage observée), mais il faut utiliser cette prédiction avec prudence.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w:r>
        <w:t xml:space="preserve">La densité conjointe est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sur le domaine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, triangle de sommets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d’aire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Normalisation.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t>​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Aire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D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1</m:t>
              </m:r>
            </m:e>
          </m:borderBox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On peut aussi calculer directement 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Densités marginales.</w:t>
      </w:r>
    </w:p>
    <w:p>
      <w:pPr>
        <w:pStyle w:val="BodyText"/>
      </w:pPr>
      <w:r>
        <w:rPr>
          <w:bCs/>
          <w:b/>
        </w:rPr>
        <w:t xml:space="preserve">Pour</w:t>
      </w:r>
      <w:r>
        <w:rPr>
          <w:bCs/>
          <w:b/>
        </w:rP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fixé dans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Cs/>
          <w:b/>
        </w:rPr>
        <w:t xml:space="preserve">Pour</w:t>
      </w:r>
      <w:r>
        <w:rPr>
          <w:bCs/>
          <w:b/>
        </w:rP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est fixé dans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y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Non-indépendance.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étaient indépendantes, on aurait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</w:t>
      </w:r>
    </w:p>
    <w:p>
      <w:pPr>
        <w:pStyle w:val="BodyText"/>
      </w:pPr>
      <w:r>
        <w:t xml:space="preserve">Or pour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∈</m:t>
        </m:r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≠</m:t>
          </m:r>
          <m:r>
            <m:t>2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Donc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bCs/>
          <w:b/>
        </w:rPr>
        <w:t xml:space="preserve">ne sont pas indépendantes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Moments et variances.</w:t>
      </w:r>
    </w:p>
    <w:p>
      <w:pPr>
        <w:pStyle w:val="BodyText"/>
      </w:pPr>
      <w:r>
        <w:t xml:space="preserve">$$\mathbb{E}[X] = \int_0^1 x\cdot 2(1-x)\,dx = 2\int_0^1(x - x^2)\,dx = 2\Bigl[\frac{x^2}{2}-\frac{x^3}{3}\Bigr]_0^1 = 2\Bigl(\frac{1}{2}-\frac{1}{3}\Bigr) = 2\times\frac{1}{6} = \boxed{\frac{1}{3}}.$$</w:t>
      </w:r>
    </w:p>
    <w:p>
      <w:pPr>
        <w:pStyle w:val="FirstParagraph"/>
      </w:pPr>
      <w:r>
        <w:t xml:space="preserve">$$\mathbb{E}[X^2] = \int_0^1 x^2\cdot 2(1-x)\,dx = 2\Bigl[\frac{x^3}{3}-\frac{x^4}{4}\Bigr]_0^1 = 2\Bigl(\frac{1}{3}-\frac{1}{4}\Bigr) = \frac{1}{6}.$$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18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t>2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2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−</m:t>
              </m:r>
              <m:r>
                <m:t>8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18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Covariance et corrélation.</w:t>
      </w:r>
    </w:p>
    <w:p>
      <w:pPr>
        <w:pStyle w:val="BodyText"/>
      </w:pPr>
      <w:r>
        <w:t xml:space="preserve">$$\mathbb{E}[XY] = \int_0^1\int_0^y xy\cdot 2\,dx\,dy = 2\int_0^1 y\Bigl[\frac{x^2}{2}\Bigr]_0^y\,dy = \int_0^1 y^3\,dy = \frac{1}{4}.$$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−</m:t>
              </m:r>
              <m:r>
                <m:t>8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36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36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18</m:t>
              </m:r>
            </m:den>
          </m:f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Interprétation 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traduit une corrélation positive modérée entre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. Sur le domaine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, une valeur élevée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 peut coexister qu’avec une valeur encore plus grande de</w:t>
      </w:r>
      <w:r>
        <w:t xml:space="preserve"> </w:t>
      </w:r>
      <m:oMath>
        <m:r>
          <m:t>Y</m:t>
        </m:r>
      </m:oMath>
      <w:r>
        <w:t xml:space="preserve">, ce qui explique la tendance à évoluer dans le même sens.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rPr>
          <w:bCs/>
          <w:b/>
        </w:rPr>
        <w:t xml:space="preserve">Densité conditionnelle de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sachant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fixé,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varie dans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C’est la densité d’une loi uniforme sur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 </m:t>
              </m:r>
              <m:r>
                <m:rPr>
                  <m:sty m:val="p"/>
                </m:rPr>
                <m:t>∼</m:t>
              </m:r>
              <m:r>
                <m:t> </m:t>
              </m:r>
              <m:r>
                <m:rPr>
                  <m:sty m:val="p"/>
                  <m:scr m:val="script"/>
                </m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(10 pts)</w:t>
      </w:r>
      <w:r>
        <w:t xml:space="preserve"> </w:t>
      </w:r>
      <w:r>
        <w:rPr>
          <w:bCs/>
          <w:b/>
        </w:rPr>
        <w:t xml:space="preserve">Probabilités.</w:t>
      </w:r>
    </w:p>
    <w:p>
      <w:pPr>
        <w:pStyle w:val="BodyText"/>
      </w:pPr>
      <w:r>
        <w:rPr>
          <w:bCs/>
          <w:b/>
        </w:rPr>
        <w:t xml:space="preserve">— Calcul de</w:t>
      </w:r>
      <w:r>
        <w:rPr>
          <w:bCs/>
          <w:b/>
        </w:rP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Cs/>
          <w:b/>
        </w:rPr>
        <w:t xml:space="preserve">.</w:t>
      </w:r>
      <w:r>
        <w:t xml:space="preserve"> </w:t>
      </w:r>
      <w:r>
        <w:t xml:space="preserve">En conditionnant sur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et en utilisant la loi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:</w:t>
      </w:r>
    </w:p>
    <w:p>
      <w:pPr>
        <w:pStyle w:val="BodyText"/>
      </w:pPr>
      <w:r>
        <w:t xml:space="preserve">$$P\!\Bigl(Y - X &gt; \frac{1}{2}\;\Bigm|\;X = x\Bigr) = P\!\Bigl(Y &gt; x + \frac{1}{2}\;\Bigm|\;X=x\Bigr).$$</w:t>
      </w:r>
    </w:p>
    <w:p>
      <w:pPr>
        <w:pStyle w:val="FirstParagraph"/>
      </w:pP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donc cette probabilité est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: comme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,</w:t>
      </w:r>
    </w:p>
    <w:p>
      <w:pPr>
        <w:pStyle w:val="BodyText"/>
      </w:pPr>
      <w:r>
        <w:t xml:space="preserve">$$P\!\Bigl(Y &gt; x+\frac{1}{2}\;\Bigm|\;X=x\Bigr) = \frac{1-(x+1/2)}{1-x} = \frac{1/2-x}{1-x}.$$</w:t>
      </w:r>
    </w:p>
    <w:p>
      <w:pPr>
        <w:pStyle w:val="FirstParagraph"/>
      </w:pPr>
      <w:r>
        <w:t xml:space="preserve">Par la formule des probabilités totales :</w:t>
      </w:r>
    </w:p>
    <w:p>
      <w:pPr>
        <w:pStyle w:val="BodyText"/>
      </w:pPr>
      <w:r>
        <w:t xml:space="preserve">$$P\!\Bigl(Y-X&gt;\frac{1}{2}\Bigr) = \int_0^{1/2} \frac{1/2-x}{1-x}\cdot 2(1-x)\,dx = 2\int_0^{1/2}\Bigl(\frac{1}{2}-x\Bigr)dx.$$</w:t>
      </w:r>
    </w:p>
    <w:p>
      <w:pPr>
        <w:pStyle w:val="FirstParagraph"/>
      </w:pPr>
      <w:r>
        <w:t xml:space="preserve">$$= 2\Bigl[\frac{x}{2} - \frac{x^2}{2}\Bigr]_0^{1/2} = 2\Bigl(\frac{1}{4} - \frac{1}{8}\Bigr) = 2\times\frac{1}{8} = \boxed{\frac{1}{4}}.$$</w:t>
      </w:r>
    </w:p>
    <w:p>
      <w:pPr>
        <w:pStyle w:val="FirstParagraph"/>
      </w:pPr>
      <w:r>
        <w:rPr>
          <w:bCs/>
          <w:b/>
        </w:rPr>
        <w:t xml:space="preserve">— Calcul de</w:t>
      </w:r>
      <w:r>
        <w:rPr>
          <w:bCs/>
          <w:b/>
        </w:rP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$$P\!\Bigl(Y &gt; \frac{3}{4}\Bigr) = \int_{3/4}^1 2y\,dy = \bigl[y^2\bigr]_{3/4}^1 = 1 - \frac{9}{16} = \boxed{\frac{7}{16}}.$$</w:t>
      </w:r>
    </w:p>
    <w:p>
      <w:pPr>
        <w:pStyle w:val="FirstParagraph"/>
      </w:pPr>
      <w:r>
        <w:rPr>
          <w:bCs/>
          <w:b/>
        </w:rPr>
        <w:t xml:space="preserve">— Calcul de</w:t>
      </w:r>
      <w:r>
        <w:rPr>
          <w:bCs/>
          <w:b/>
        </w:rP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utilise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 </w:t>
      </w:r>
      <w:r>
        <w:rPr>
          <w:iCs/>
          <w:i/>
        </w:rPr>
        <w:t xml:space="preserve">(loi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</m:d>
      </m:oMath>
      <w:r>
        <w:rPr>
          <w:iCs/>
          <w:i/>
        </w:rPr>
        <w:t xml:space="preserve">, admis)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$$P\!\Bigl(X &lt; \frac{1}{4}\;\Bigm|\;Y = \frac{3}{4}\Bigr) = \int_0^{1/4} \frac{4}{3}\,dx = \frac{4}{3}\times\frac{1}{4} = \boxed{\frac{1}{3}}.$$</w:t>
      </w:r>
    </w:p>
    <w:p>
      <w:r>
        <w:pict>
          <v:rect style="width:0;height:1.5pt" o:hralign="center" o:hrstd="t" o:hr="t"/>
        </w:pict>
      </w:r>
    </w:p>
    <w:bookmarkEnd w:id="23"/>
    <w:bookmarkStart w:id="27" w:name="Xe83e29d819126e37c1dd9d62a5e9e10bc22334b"/>
    <w:p>
      <w:pPr>
        <w:pStyle w:val="Heading2"/>
      </w:pPr>
      <w:r>
        <w:t xml:space="preserve">Exercice 3 — Convergence et inférence statistique (30 points)</w:t>
      </w:r>
    </w:p>
    <w:bookmarkStart w:id="24" w:name="partie-a-inégalités-de-concentration"/>
    <w:p>
      <w:pPr>
        <w:pStyle w:val="Heading3"/>
      </w:pPr>
      <w:r>
        <w:t xml:space="preserve">Partie A — Inégalités de concentration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Inégalité de Markov.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15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Inégalité de Bienaymé-Tchebychev.</w:t>
      </w:r>
    </w:p>
    <w:p>
      <w:pPr>
        <w:pStyle w:val="BodyText"/>
      </w:pPr>
      <w:r>
        <w:t xml:space="preserve">Pour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&lt;</m:t>
        </m:r>
        <m:r>
          <m:t>4</m:t>
        </m:r>
        <m:r>
          <m:rPr>
            <m:sty m:val="p"/>
          </m:rPr>
          <m:t>}</m:t>
        </m:r>
      </m:oMath>
      <w:r>
        <w:t xml:space="preserve">, donc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≥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est le complémentaire.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≥</m:t>
              </m:r>
              <m:r>
                <m:t>4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 complémentarité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9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≥</m:t>
              </m:r>
              <m:r>
                <m:t>4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exact sous</w:t>
      </w:r>
      <w:r>
        <w:rPr>
          <w:bCs/>
          <w:b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(écart-type = 2).</w:t>
      </w:r>
    </w:p>
    <w:p>
      <w:pPr>
        <w:pStyle w:val="BodyText"/>
      </w:pPr>
      <w:r>
        <w:t xml:space="preserve">$$P(1 &lt; X &lt; 9) = P\!\Bigl(\frac{1-5}{2} &lt; Z &lt; \frac{9-5}{2}\Bigr) = P(-2 &lt; Z &lt; 2) = 2\Phi(2) - 1.$$</w:t>
      </w:r>
    </w:p>
    <w:p>
      <w:pPr>
        <w:pStyle w:val="FirstParagraph"/>
      </w:pPr>
      <w:r>
        <w:t xml:space="preserve">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9772</m:t>
        </m:r>
      </m:oMath>
      <w:r>
        <w:t xml:space="preserve">, 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9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9544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Commentaire :</w:t>
      </w:r>
      <w:r>
        <w:t xml:space="preserve"> </w:t>
      </w:r>
      <w:r>
        <w:t xml:space="preserve">la valeur exacte 0,9544 est bien supérieure à la borne 3/4 = 0,75 obtenue par Bienaymé-Tchebychev. L’inégalité est une borne universelle (valable pour toute loi), donc très conservative. Connaître la loi exacte permet d’obtenir une valeur bien plus précise.</w:t>
      </w:r>
    </w:p>
    <w:p>
      <w:r>
        <w:pict>
          <v:rect style="width:0;height:1.5pt" o:hralign="center" o:hrstd="t" o:hr="t"/>
        </w:pict>
      </w:r>
    </w:p>
    <w:bookmarkEnd w:id="24"/>
    <w:bookmarkStart w:id="25" w:name="partie-b-maximum-de-vraisemblance"/>
    <w:p>
      <w:pPr>
        <w:pStyle w:val="Heading3"/>
      </w:pPr>
      <w:r>
        <w:t xml:space="preserve">Partie B — Maximum de vraisemblance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Vraisemblance et log-vraisemblance.</w:t>
      </w:r>
    </w:p>
    <w:p>
      <w:pPr>
        <w:pStyle w:val="BodyText"/>
      </w:pPr>
      <w:r>
        <w:t xml:space="preserve">Pour un échantillon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</w:t>
      </w:r>
    </w:p>
    <w:p>
      <w:pPr>
        <w:pStyle w:val="BodyText"/>
      </w:pPr>
      <w:r>
        <w:t xml:space="preserve">$$L(\lambda) = \prod_{i=1}^n \lambda e^{-\lambda t_i} = \lambda^n\,\exp\!\Bigl(-\lambda\sum_{i=1}^n t_i\Bigr).$$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t>λ</m:t>
          </m:r>
          <m:r>
            <m:rPr>
              <m:sty m:val="p"/>
            </m:rPr>
            <m:t>−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borderBox>
            <m:e>
              <m:r>
                <m:t>n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  <m:r>
                <m:t> </m:t>
              </m:r>
              <m:r>
                <m:t>λ</m:t>
              </m:r>
            </m:e>
          </m:borderBox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Estimateur du maximum de vraisemblance.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ℓ</m:t>
              </m:r>
            </m:num>
            <m:den>
              <m:r>
                <m:t>d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ℓ</m:t>
              </m:r>
            </m:num>
            <m:den>
              <m:r>
                <m:t>d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nor/>
              <m:sty m:val="p"/>
            </m:rPr>
            <m:t>(maximum)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Application numérique.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333</m:t>
              </m:r>
              <m:sSup>
                <m:e>
                  <m:r>
                    <m:rPr>
                      <m:nor/>
                      <m:sty m:val="p"/>
                    </m:rPr>
                    <m:t> ms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L’estimation de la durée moyenne de traitement est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b"/>
          </m:rPr>
          <m:t>3</m:t>
        </m:r>
        <m:r>
          <m:rPr>
            <m:sty m:val="b"/>
          </m:rPr>
          <m:t>,</m:t>
        </m:r>
        <m:r>
          <m:rPr>
            <m:sty m:val="b"/>
          </m:rPr>
          <m:t>0</m:t>
        </m:r>
      </m:oMath>
      <w:r>
        <w:t xml:space="preserve"> </w:t>
      </w:r>
      <w:r>
        <w:rPr>
          <w:bCs/>
          <w:b/>
        </w:rPr>
        <w:t xml:space="preserve">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fa15a46e692c97c06228b100dfc72cb3526210f"/>
    <w:p>
      <w:pPr>
        <w:pStyle w:val="Heading3"/>
      </w:pPr>
      <w:r>
        <w:t xml:space="preserve">Partie C — Intervalle de confiance pour une moyenne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Justification et loi de</w:t>
      </w:r>
      <w:r>
        <w:rPr>
          <w:bCs/>
          <w:b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64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dispose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observations indépendantes. Par le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, la moyenne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suit approximativement une loi normale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64</m:t>
              </m:r>
            </m:sub>
          </m:sSub>
          <m:r>
            <m:t> </m:t>
          </m:r>
          <m:limUpp>
            <m:e>
              <m:r>
                <m:rPr>
                  <m:sty m:val="p"/>
                </m:rPr>
                <m:t>∼</m:t>
              </m:r>
            </m:e>
            <m:lim>
              <m:r>
                <m:rPr>
                  <m:nor/>
                  <m:sty m:val="p"/>
                </m:rPr>
                <m:t>approx</m:t>
              </m:r>
            </m:lim>
          </m:limUpp>
          <m:r>
            <m:t> 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avec 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64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ms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Intervalle de confiance à 95 %.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025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;</m:t>
              </m:r>
              <m:r>
                <m:t> 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025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210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 </m:t>
              </m:r>
              <m:r>
                <m:t>210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rPr>
                      <m:sty m:val="p"/>
                    </m:rPr>
                    <m:t>%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204</m:t>
                  </m:r>
                  <m:r>
                    <m:rPr>
                      <m:sty m:val="p"/>
                    </m:rPr>
                    <m:t>,</m:t>
                  </m:r>
                  <m:r>
                    <m:t>12</m:t>
                  </m:r>
                  <m:r>
                    <m:t> </m:t>
                  </m:r>
                  <m:r>
                    <m:rPr>
                      <m:sty m:val="p"/>
                    </m:rPr>
                    <m:t>;</m:t>
                  </m:r>
                  <m:r>
                    <m:t> </m:t>
                  </m:r>
                  <m:r>
                    <m:t>215</m:t>
                  </m:r>
                  <m:r>
                    <m:rPr>
                      <m:sty m:val="p"/>
                    </m:rPr>
                    <m:t>,</m:t>
                  </m:r>
                  <m:r>
                    <m:t>88</m:t>
                  </m:r>
                </m:e>
              </m:d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Intervalle de confiance à 99 %.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sSub>
            <m:e>
              <m:r>
                <m:t>C</m:t>
              </m:r>
            </m:e>
            <m:sub>
              <m:r>
                <m:t>99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210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58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 </m:t>
              </m:r>
              <m:r>
                <m:t>210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58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202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;</m:t>
              </m:r>
              <m:r>
                <m:t> </m:t>
              </m:r>
              <m:r>
                <m:t>217</m:t>
              </m:r>
              <m:r>
                <m:rPr>
                  <m:sty m:val="p"/>
                </m:rPr>
                <m:t>,</m:t>
              </m:r>
              <m:r>
                <m:t>74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99</m:t>
                  </m:r>
                  <m:r>
                    <m:rPr>
                      <m:sty m:val="p"/>
                    </m:rPr>
                    <m:t>%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202</m:t>
                  </m:r>
                  <m:r>
                    <m:rPr>
                      <m:sty m:val="p"/>
                    </m:rPr>
                    <m:t>,</m:t>
                  </m:r>
                  <m:r>
                    <m:t>26</m:t>
                  </m:r>
                  <m:r>
                    <m:t> </m:t>
                  </m:r>
                  <m:r>
                    <m:rPr>
                      <m:sty m:val="p"/>
                    </m:rPr>
                    <m:t>;</m:t>
                  </m:r>
                  <m:r>
                    <m:t> </m:t>
                  </m:r>
                  <m:r>
                    <m:t>217</m:t>
                  </m:r>
                  <m:r>
                    <m:rPr>
                      <m:sty m:val="p"/>
                    </m:rPr>
                    <m:t>,</m:t>
                  </m:r>
                  <m:r>
                    <m:t>74</m:t>
                  </m:r>
                </m:e>
              </m:d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 minimal pour une demi-largeur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3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ms.</w:t>
      </w:r>
    </w:p>
    <w:p>
      <w:pPr>
        <w:pStyle w:val="BodyText"/>
      </w:pPr>
      <w:r>
        <w:t xml:space="preserve">La demi-largeur de l’IC à 95 % est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On cherche le plus petit entier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tel que 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3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t>24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47</m:t>
              </m:r>
              <m:r>
                <m:rPr>
                  <m:sty m:val="p"/>
                </m:rPr>
                <m:t>,</m:t>
              </m:r>
              <m:r>
                <m:t>04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,</m:t>
          </m:r>
          <m:r>
            <m:t>68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245</m:t>
          </m:r>
          <m:r>
            <m:rPr>
              <m:sty m:val="p"/>
            </m:rPr>
            <m:t>,</m:t>
          </m:r>
          <m:r>
            <m:t>86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du corrigé.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— Examen Final</dc:title>
  <dc:creator/>
  <dc:language>fr</dc:language>
  <cp:keywords/>
  <dcterms:created xsi:type="dcterms:W3CDTF">2026-05-23T18:14:09Z</dcterms:created>
  <dcterms:modified xsi:type="dcterms:W3CDTF">2026-05-23T18:14:09Z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Corrigé complet de l’examen exam-final-2. Toutes les étapes de calcul sont détaillées ; les réponses encadrées correspondent aux valeurs à retenir.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2026-05-21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ece-proba</vt:lpwstr>
  </property>
  <property fmtid="{D5CDD505-2E9C-101B-9397-08002B2CF9AE}" pid="11" name="subtitle">
    <vt:lpwstr>Analyse financière · Couples de v.a.r. continues · Convergence et estimation</vt:lpwstr>
  </property>
  <property fmtid="{D5CDD505-2E9C-101B-9397-08002B2CF9AE}" pid="12" name="toc-title">
    <vt:lpwstr>Table des matières</vt:lpwstr>
  </property>
</Properties>
</file>