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—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Analyse</w:t>
      </w:r>
      <w:r>
        <w:t xml:space="preserve"> </w:t>
      </w:r>
      <w:r>
        <w:t xml:space="preserve">financière</w:t>
      </w:r>
      <w:r>
        <w:t xml:space="preserve"> </w:t>
      </w:r>
      <w:r>
        <w:t xml:space="preserve">·</w:t>
      </w:r>
      <w:r>
        <w:t xml:space="preserve"> </w:t>
      </w:r>
      <w:r>
        <w:t xml:space="preserve">Couples</w:t>
      </w:r>
      <w:r>
        <w:t xml:space="preserve"> </w:t>
      </w:r>
      <w:r>
        <w:t xml:space="preserve">de</w:t>
      </w:r>
      <w:r>
        <w:t xml:space="preserve"> </w:t>
      </w:r>
      <w:r>
        <w:t xml:space="preserve">v.a.r.</w:t>
      </w:r>
      <w:r>
        <w:t xml:space="preserve"> </w:t>
      </w:r>
      <w:r>
        <w:t xml:space="preserve">continues</w:t>
      </w:r>
      <w:r>
        <w:t xml:space="preserve"> </w:t>
      </w:r>
      <w:r>
        <w:t xml:space="preserve">·</w:t>
      </w:r>
      <w:r>
        <w:t xml:space="preserve"> </w:t>
      </w:r>
      <w:r>
        <w:t xml:space="preserve">Convergence</w:t>
      </w:r>
      <w:r>
        <w:t xml:space="preserve"> </w:t>
      </w:r>
      <w:r>
        <w:t xml:space="preserve">et</w:t>
      </w:r>
      <w:r>
        <w:t xml:space="preserve"> </w:t>
      </w:r>
      <w:r>
        <w:t xml:space="preserve">estimation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30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  <w:r>
        <w:t xml:space="preserve"> </w:t>
      </w:r>
      <w:r>
        <w:t xml:space="preserve">Les</w:t>
      </w:r>
      <w:r>
        <w:t xml:space="preserve"> </w:t>
      </w:r>
      <w:r>
        <w:t xml:space="preserve">valeurs</w:t>
      </w:r>
      <w:r>
        <w:t xml:space="preserve"> </w:t>
      </w:r>
      <w:r>
        <w:t xml:space="preserve">suivantes</w:t>
      </w:r>
      <w:r>
        <w:t xml:space="preserve"> </w:t>
      </w:r>
      <w:r>
        <w:t xml:space="preserve">sont</w:t>
      </w:r>
      <w:r>
        <w:t xml:space="preserve"> </w:t>
      </w:r>
      <w:r>
        <w:t xml:space="preserve">fournies</w:t>
      </w:r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 </w:t>
      </w:r>
      <w:r>
        <w:t xml:space="preserve">;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30 pts · Exercice 2 — 40 pts · Exercice 3 — 30 pts</w:t>
      </w:r>
    </w:p>
    <w:p>
      <w:r>
        <w:pict>
          <v:rect style="width:0;height:1.5pt" o:hralign="center" o:hrstd="t" o:hr="t"/>
        </w:pict>
      </w:r>
    </w:p>
    <w:bookmarkStart w:id="22" w:name="X24e44dc93eaa0504332d150f053423b1d0b2cac"/>
    <w:p>
      <w:pPr>
        <w:pStyle w:val="Heading2"/>
      </w:pPr>
      <w:r>
        <w:t xml:space="preserve">Exercice 1 — Analyse financière bivariée (30 points)</w:t>
      </w:r>
    </w:p>
    <w:bookmarkStart w:id="20" w:name="X21ed2f98abc3ca7772646734eb0c263d519b712"/>
    <w:p>
      <w:pPr>
        <w:pStyle w:val="Heading3"/>
      </w:pPr>
      <w:r>
        <w:t xml:space="preserve">Partie A — Profil investisseur et performance (14 points)</w:t>
      </w:r>
    </w:p>
    <w:p>
      <w:pPr>
        <w:pStyle w:val="FirstParagraph"/>
      </w:pPr>
      <w:r>
        <w:t xml:space="preserve">Un gestionnaire de patrimoine analyse les résultats de</w:t>
      </w:r>
      <w:r>
        <w:t xml:space="preserve"> </w:t>
      </w:r>
      <w:r>
        <w:rPr>
          <w:bCs/>
          <w:b/>
        </w:rPr>
        <w:t xml:space="preserve">200 portefeuilles</w:t>
      </w:r>
      <w:r>
        <w:t xml:space="preserve"> </w:t>
      </w:r>
      <w:r>
        <w:t xml:space="preserve">sur</w:t>
      </w:r>
      <w:r>
        <w:t xml:space="preserve"> </w:t>
      </w:r>
      <w:r>
        <w:t xml:space="preserve">une année. Il croise deux variables :</w:t>
      </w:r>
    </w:p>
    <w:p>
      <w:pPr>
        <w:numPr>
          <w:ilvl w:val="0"/>
          <w:numId w:val="1001"/>
        </w:numPr>
        <w:pStyle w:val="Compact"/>
      </w:pPr>
      <w:r>
        <w:t xml:space="preserve">l’</w:t>
      </w:r>
      <w:r>
        <w:rPr>
          <w:bCs/>
          <w:b/>
        </w:rPr>
        <w:t xml:space="preserve">ancienneté</w:t>
      </w:r>
      <w:r>
        <w:t xml:space="preserve"> </w:t>
      </w:r>
      <w:r>
        <w:t xml:space="preserve">du gérant : Junior (moins de 5 ans d’expérience), Senior ;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performance annuelle</w:t>
      </w:r>
      <w:r>
        <w:t xml:space="preserve"> </w:t>
      </w:r>
      <w:r>
        <w:t xml:space="preserve">du portefeuille : Perte, Neutre (0–5 %), Gain (&gt; 5 %).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Perte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Junior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Senior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fréquences marginales</w:t>
      </w:r>
      <w:r>
        <w:t xml:space="preserve"> </w:t>
      </w:r>
      <w:r>
        <w:t xml:space="preserve">(en %) de chaque variable.</w:t>
      </w:r>
      <w:r>
        <w:t xml:space="preserve"> </w:t>
      </w:r>
      <w:r>
        <w:t xml:space="preserve">Donner la</w:t>
      </w:r>
      <w:r>
        <w:t xml:space="preserve"> </w:t>
      </w:r>
      <w:r>
        <w:rPr>
          <w:bCs/>
          <w:b/>
        </w:rPr>
        <w:t xml:space="preserve">distribution conditionnelle</w:t>
      </w:r>
      <w:r>
        <w:t xml:space="preserve"> </w:t>
      </w:r>
      <w:r>
        <w:t xml:space="preserve">de la performance pour les gérants</w:t>
      </w:r>
      <w:r>
        <w:t xml:space="preserve"> </w:t>
      </w:r>
      <w:r>
        <w:t xml:space="preserve">Juniors et interpréter brièvement.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Perte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Junior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Gain</m:t>
            </m:r>
          </m:e>
        </m:d>
      </m:oMath>
      <w:r>
        <w:t xml:space="preserve">,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Senior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Gain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effectifs théoriques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sous l’hypothèse</w:t>
      </w:r>
      <w:r>
        <w:t xml:space="preserve"> </w:t>
      </w:r>
      <w:r>
        <w:t xml:space="preserve">d’indépendance. Vérifier qu’ils sont tous supérieurs à 5.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la</w:t>
      </w:r>
      <w:r>
        <w:t xml:space="preserve"> </w:t>
      </w:r>
      <w:r>
        <w:rPr>
          <w:bCs/>
          <w:b/>
        </w:rPr>
        <w:t xml:space="preserve">statistique du test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Conclure au seuil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en comparant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à</w:t>
      </w:r>
      <w:r>
        <w:t xml:space="preserve"> </w:t>
      </w:r>
      <m:oMath>
        <m:sSubSup>
          <m:e>
            <m:r>
              <m:t>χ</m:t>
            </m:r>
          </m:e>
          <m:sub>
            <m:r>
              <m:t>2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0</m:t>
            </m:r>
            <m:r>
              <m:rPr>
                <m:sty m:val="p"/>
              </m:rPr>
              <m:t>,</m:t>
            </m:r>
            <m:r>
              <m:t>05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991</m:t>
        </m:r>
      </m:oMath>
      <w:r>
        <w:t xml:space="preserve">.</w:t>
      </w:r>
      <w:r>
        <w:t xml:space="preserve"> </w:t>
      </w:r>
      <w:r>
        <w:t xml:space="preserve">Interpréter le résultat et préciser quelle case contribue le plus à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941b5bfa36e43cbc399ffd92a929e1c39a2016b"/>
    <w:p>
      <w:pPr>
        <w:pStyle w:val="Heading3"/>
      </w:pPr>
      <w:r>
        <w:t xml:space="preserve">Partie B — Volatilité et rendement sectoriel (16 points)</w:t>
      </w:r>
    </w:p>
    <w:p>
      <w:pPr>
        <w:pStyle w:val="FirstParagraph"/>
      </w:pPr>
      <w:r>
        <w:t xml:space="preserve">Un analyste relève, pour 5</w:t>
      </w:r>
      <w:r>
        <w:t xml:space="preserve"> </w:t>
      </w:r>
      <w:r>
        <w:rPr>
          <w:bCs/>
          <w:b/>
        </w:rPr>
        <w:t xml:space="preserve">secteurs boursiers</w:t>
      </w:r>
      <w:r>
        <w:t xml:space="preserve">, la</w:t>
      </w:r>
      <w:r>
        <w:t xml:space="preserve"> </w:t>
      </w:r>
      <w:r>
        <w:rPr>
          <w:bCs/>
          <w:b/>
        </w:rPr>
        <w:t xml:space="preserve">volatilité annuelle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 %) et le</w:t>
      </w:r>
      <w:r>
        <w:t xml:space="preserve"> </w:t>
      </w:r>
      <w:r>
        <w:rPr>
          <w:bCs/>
          <w:b/>
        </w:rPr>
        <w:t xml:space="preserve">rendement moyen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(en %)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Secteur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</w:tbl>
    <w:p>
      <w:pPr>
        <w:pStyle w:val="BodyText"/>
      </w:pPr>
      <w:r>
        <w:rPr>
          <w:iCs/>
          <w:i/>
        </w:rPr>
        <w:t xml:space="preserve">On donne 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147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394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puis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Déterminer les coefficients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et écrire la droite de régression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t> </m:t>
        </m:r>
        <m:r>
          <m:t>x</m:t>
        </m:r>
      </m:oMath>
      <w:r>
        <w:t xml:space="preserve">.</w:t>
      </w:r>
      <w:r>
        <w:t xml:space="preserve"> </w:t>
      </w:r>
      <w:r>
        <w:t xml:space="preserve">Interpréter le coefficient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</w:t>
      </w:r>
      <w:r>
        <w:t xml:space="preserve"> </w:t>
      </w:r>
      <w:r>
        <w:rPr>
          <w:bCs/>
          <w:b/>
        </w:rPr>
        <w:t xml:space="preserve">coefficient de corrélation de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  <m:r>
              <m:t> </m:t>
            </m:r>
            <m:sSub>
              <m:e>
                <m:r>
                  <m:t>S</m:t>
                </m:r>
              </m:e>
              <m:sub>
                <m:r>
                  <m:t>y</m:t>
                </m:r>
                <m:r>
                  <m:t>y</m:t>
                </m:r>
              </m:sub>
            </m:sSub>
          </m:e>
        </m:rad>
      </m:oMath>
      <w:r>
        <w:t xml:space="preserve"> </w:t>
      </w:r>
      <w:r>
        <w:t xml:space="preserve">et le coefficient de détermination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Commenter la qualité de l’ajustement linéaire.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Un sixième secteur présente une volatilité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Prédire son rendement. Discuter la validité de cette prédiction.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ffbcb4d3f6bf9eb53f7d670741fcacce27ec23"/>
    <w:p>
      <w:pPr>
        <w:pStyle w:val="Heading2"/>
      </w:pPr>
      <w:r>
        <w:t xml:space="preserve">Exercice 2 — Couple de variables aléatoires continues (40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un couple de variables aléatoires dont la</w:t>
      </w:r>
      <w:r>
        <w:t xml:space="preserve"> </w:t>
      </w:r>
      <w:r>
        <w:rPr>
          <w:bCs/>
          <w:b/>
        </w:rPr>
        <w:t xml:space="preserve">densité conjointe</w:t>
      </w:r>
      <w:r>
        <w:t xml:space="preserve"> </w:t>
      </w:r>
      <w:r>
        <w:t xml:space="preserve">est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Vérifier que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2</m:t>
                </m:r>
              </m:sup>
            </m:sSup>
          </m:sub>
          <m:sup>
            <m:r>
              <m:t>​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(Préciser le domaine d’intégration et choisir un ordre d’intégration.)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 les</w:t>
      </w:r>
      <w:r>
        <w:t xml:space="preserve"> </w:t>
      </w:r>
      <w:r>
        <w:rPr>
          <w:bCs/>
          <w:b/>
        </w:rPr>
        <w:t xml:space="preserve">densités marginales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sur</w:t>
      </w:r>
      <w:r>
        <w:t xml:space="preserve"> </w:t>
      </w:r>
      <w:r>
        <w:t xml:space="preserve">leur support respectif. Vérifier dans chaque cas que la densité intègre à 1.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Montrer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 sont</w:t>
      </w:r>
      <w:r>
        <w:t xml:space="preserve"> </w:t>
      </w:r>
      <w:r>
        <w:rPr>
          <w:bCs/>
          <w:b/>
        </w:rPr>
        <w:t xml:space="preserve">pas indépendantes</w:t>
      </w:r>
      <w:r>
        <w:t xml:space="preserve">.</w:t>
      </w:r>
      <w:r>
        <w:t xml:space="preserve"> </w:t>
      </w:r>
      <w:r>
        <w:rPr>
          <w:iCs/>
          <w:i/>
        </w:rPr>
        <w:t xml:space="preserve">(Comparer</w:t>
      </w:r>
      <w:r>
        <w:rPr>
          <w:iCs/>
          <w:i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au produit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en un point bien choisi.)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  <w:r>
        <w:t xml:space="preserve"> </w:t>
      </w:r>
      <w:r>
        <w:t xml:space="preserve">Puis 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Y</m:t>
            </m:r>
          </m:e>
        </m:d>
      </m:oMath>
      <w:r>
        <w:t xml:space="preserve">, puis la</w:t>
      </w:r>
      <w:r>
        <w:t xml:space="preserve"> </w:t>
      </w:r>
      <w:r>
        <w:rPr>
          <w:bCs/>
          <w:b/>
        </w:rPr>
        <w:t xml:space="preserve">covariance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coefficient de corrélation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</w:t>
      </w:r>
      <w:r>
        <w:t xml:space="preserve"> </w:t>
      </w:r>
      <w:r>
        <w:t xml:space="preserve">Interpréter le signe de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au regard de la définition du domaine.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densité conditionnelle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sachant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). Reconnaître la loi de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et vérifier la normalisation.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(10 pts)</w:t>
      </w:r>
      <w:r>
        <w:t xml:space="preserve"> </w:t>
      </w:r>
      <w:r>
        <w:t xml:space="preserve">On admet que la</w:t>
      </w:r>
      <w:r>
        <w:t xml:space="preserve"> </w:t>
      </w:r>
      <w:r>
        <w:rPr>
          <w:bCs/>
          <w:b/>
        </w:rPr>
        <w:t xml:space="preserve">densité conditionnelle de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sachant</w:t>
      </w:r>
      <w:r>
        <w:rPr>
          <w:bCs/>
          <w:b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est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pour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iCs/>
          <w:i/>
        </w:rPr>
        <w:t xml:space="preserve">(loi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</m:oMath>
      <w:r>
        <w:rPr>
          <w:iCs/>
          <w:i/>
        </w:rPr>
        <w:t xml:space="preserve">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(5 pts)</w:t>
      </w:r>
      <w:r>
        <w:t xml:space="preserve"> </w:t>
      </w:r>
      <w:r>
        <w:t xml:space="preserve">En utilisant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sub>
        </m:sSub>
      </m:oMath>
      <w:r>
        <w:t xml:space="preserve"> </w:t>
      </w:r>
      <w:r>
        <w:t xml:space="preserve">et la loi totale des probabilités,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(3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à partir de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rPr>
          <w:iCs/>
          <w:i/>
        </w:rPr>
        <w:t xml:space="preserve">(2 pts)</w:t>
      </w:r>
      <w:r>
        <w:t xml:space="preserve"> </w:t>
      </w:r>
      <w:r>
        <w:t xml:space="preserve">En déduire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|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 </m:t>
            </m:r>
          </m:e>
          <m:e>
            <m:r>
              <m:t> </m:t>
            </m:r>
            <m:r>
              <m:t>Y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Xe83e29d819126e37c1dd9d62a5e9e10bc22334b"/>
    <w:p>
      <w:pPr>
        <w:pStyle w:val="Heading2"/>
      </w:pPr>
      <w:r>
        <w:t xml:space="preserve">Exercice 3 — Convergence et inférence statistique (30 points)</w:t>
      </w:r>
    </w:p>
    <w:bookmarkStart w:id="24" w:name="X8df7288c27619d8e40f0711027c6e27dbe300e6"/>
    <w:p>
      <w:pPr>
        <w:pStyle w:val="Heading3"/>
      </w:pPr>
      <w:r>
        <w:t xml:space="preserve">Partie A — Inégalités de concentration (8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variable aléatoire</w:t>
      </w:r>
      <w:r>
        <w:t xml:space="preserve"> </w:t>
      </w:r>
      <w:r>
        <w:rPr>
          <w:bCs/>
          <w:b/>
        </w:rPr>
        <w:t xml:space="preserve">positive</w:t>
      </w:r>
      <w:r>
        <w:t xml:space="preserve">, d’espérance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et de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Markov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15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En appliquant l’</w:t>
      </w:r>
      <w:r>
        <w:rPr>
          <w:bCs/>
          <w:b/>
        </w:rPr>
        <w:t xml:space="preserve">inégalité de Bienaymé-Tchebychev</w:t>
      </w:r>
      <w:r>
        <w:t xml:space="preserve">, majorer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r>
              <m:rPr>
                <m:sty m:val="p"/>
              </m:rPr>
              <m:t>≥</m:t>
            </m:r>
            <m:r>
              <m:t>4</m:t>
            </m:r>
          </m:e>
        </m:d>
      </m:oMath>
      <w:r>
        <w:t xml:space="preserve">. En déduire une borne inférieure de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9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On suppose maintenant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</m:e>
        </m:d>
      </m:oMath>
      <w:r>
        <w:t xml:space="preserve">.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9</m:t>
            </m:r>
          </m:e>
        </m:d>
      </m:oMath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à l’aide de la table</w:t>
      </w:r>
      <w:r>
        <w:t xml:space="preserve"> </w:t>
      </w:r>
      <m:oMath>
        <m:r>
          <m:t>Φ</m:t>
        </m:r>
      </m:oMath>
      <w:r>
        <w:t xml:space="preserve">, et</w:t>
      </w:r>
      <w:r>
        <w:t xml:space="preserve"> </w:t>
      </w:r>
      <w:r>
        <w:t xml:space="preserve">comparer avec la borne de la question 2. Commenter.</w:t>
      </w:r>
    </w:p>
    <w:p>
      <w:r>
        <w:pict>
          <v:rect style="width:0;height:1.5pt" o:hralign="center" o:hrstd="t" o:hr="t"/>
        </w:pict>
      </w:r>
    </w:p>
    <w:bookmarkEnd w:id="24"/>
    <w:bookmarkStart w:id="25" w:name="X989dba4272208f51f09d97ff639d3c2536b639d"/>
    <w:p>
      <w:pPr>
        <w:pStyle w:val="Heading3"/>
      </w:pPr>
      <w:r>
        <w:t xml:space="preserve">Partie B — Maximum de vraisemblance (10 points)</w:t>
      </w:r>
    </w:p>
    <w:p>
      <w:pPr>
        <w:pStyle w:val="FirstParagraph"/>
      </w:pPr>
      <w:r>
        <w:t xml:space="preserve">Des durées de traitement d’ordres boursiers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sont supposées</w:t>
      </w:r>
      <w:r>
        <w:t xml:space="preserve"> </w:t>
      </w:r>
      <w:r>
        <w:rPr>
          <w:bCs/>
          <w:b/>
        </w:rPr>
        <w:t xml:space="preserve">i.i.d.</w:t>
      </w:r>
      <w:r>
        <w:t xml:space="preserve"> </w:t>
      </w:r>
      <w:r>
        <w:t xml:space="preserve">de loi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de densité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  <m:r>
          <m:rPr>
            <m:sty m:val="p"/>
          </m:rPr>
          <m:t>=</m:t>
        </m:r>
        <m:r>
          <m:t>λ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pour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Écrire la</w:t>
      </w:r>
      <w:r>
        <w:t xml:space="preserve"> </w:t>
      </w:r>
      <w:r>
        <w:rPr>
          <w:bCs/>
          <w:b/>
        </w:rPr>
        <w:t xml:space="preserve">vraisemblance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λ</m:t>
            </m:r>
          </m:e>
        </m:d>
      </m:oMath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log-vraisemblance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.</w:t>
      </w:r>
      <w:r>
        <w:t xml:space="preserve"> </w:t>
      </w:r>
      <w:r>
        <w:rPr>
          <w:iCs/>
          <w:i/>
        </w:rPr>
        <w:t xml:space="preserve">(Simplifier au maximum les deux expressions.)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</m:oMath>
      <w:r>
        <w:t xml:space="preserve"> </w:t>
      </w:r>
      <w:r>
        <w:t xml:space="preserve">et résoudre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ℓ</m:t>
            </m:r>
          </m:num>
          <m:den>
            <m:r>
              <m:t>d</m:t>
            </m:r>
            <m:r>
              <m:t>λ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pour déterminer l’</w:t>
      </w:r>
      <w:r>
        <w:rPr>
          <w:bCs/>
          <w:b/>
        </w:rPr>
        <w:t xml:space="preserve">estimateur du maximum de</w:t>
      </w:r>
      <w:r>
        <w:rPr>
          <w:bCs/>
          <w:b/>
        </w:rPr>
        <w:t xml:space="preserve"> </w:t>
      </w:r>
      <w:r>
        <w:rPr>
          <w:bCs/>
          <w:b/>
        </w:rPr>
        <w:t xml:space="preserve">vraisemblance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. Vérifier qu’il s’agit bien d’un maximum.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Sur un échantillon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ordres, on mesure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ms. Calculer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et en déduire une estimation</w:t>
      </w:r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f39ddeda65737c7d7a09102e8e59a26cb1b29ae"/>
    <w:p>
      <w:pPr>
        <w:pStyle w:val="Heading3"/>
      </w:pPr>
      <w:r>
        <w:t xml:space="preserve">Partie C — Intervalle de confiance pour une moyenne (12 points)</w:t>
      </w:r>
    </w:p>
    <w:p>
      <w:pPr>
        <w:pStyle w:val="FirstParagraph"/>
      </w:pPr>
      <w:r>
        <w:t xml:space="preserve">On mesure le temps d’exécution (en ms)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transactions boursières</w:t>
      </w:r>
      <w:r>
        <w:t xml:space="preserve"> </w:t>
      </w:r>
      <w:r>
        <w:t xml:space="preserve">indépendantes. On obtient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210</m:t>
        </m:r>
      </m:oMath>
      <w:r>
        <w:t xml:space="preserve"> </w:t>
      </w:r>
      <w:r>
        <w:t xml:space="preserve">ms et une</w:t>
      </w:r>
      <w:r>
        <w:t xml:space="preserve"> </w:t>
      </w:r>
      <w:r>
        <w:rPr>
          <w:bCs/>
          <w:b/>
        </w:rPr>
        <w:t xml:space="preserve">variance empirique corrigée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576</m:t>
        </m:r>
      </m:oMath>
      <w:r>
        <w:t xml:space="preserve"> </w:t>
      </w:r>
      <w:r>
        <w:t xml:space="preserve">ms².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Justifier l’utilisation de la loi normale pour construire</w:t>
      </w:r>
      <w:r>
        <w:t xml:space="preserve"> </w:t>
      </w:r>
      <w:r>
        <w:t xml:space="preserve">un intervalle de confiance. Donner la loi approchée de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64</m:t>
            </m:r>
          </m:sub>
        </m:sSub>
      </m:oMath>
      <w:r>
        <w:t xml:space="preserve"> </w:t>
      </w:r>
      <w:r>
        <w:t xml:space="preserve">et</w:t>
      </w:r>
      <w:r>
        <w:t xml:space="preserve"> </w:t>
      </w:r>
      <w:r>
        <w:t xml:space="preserve">préciser ses paramètres.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99 %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En conservant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ms comme estimation de</w:t>
      </w:r>
      <w:r>
        <w:t xml:space="preserve"> </w:t>
      </w:r>
      <m:oMath>
        <m:r>
          <m:t>σ</m:t>
        </m:r>
      </m:oMath>
      <w:r>
        <w:t xml:space="preserve">, quel</w:t>
      </w:r>
      <w:r>
        <w:t xml:space="preserve"> </w:t>
      </w:r>
      <w:r>
        <w:t xml:space="preserve">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faut-il pour que la demi-largeur de l’IC à 95 % soit</w:t>
      </w:r>
      <w:r>
        <w:t xml:space="preserve"> </w:t>
      </w:r>
      <w:r>
        <w:t xml:space="preserve">inférieure ou égale à</w:t>
      </w:r>
      <w:r>
        <w:t xml:space="preserve"> </w:t>
      </w:r>
      <w:r>
        <w:rPr>
          <w:bCs/>
          <w:b/>
        </w:rPr>
        <w:t xml:space="preserve">3 ms</w:t>
      </w:r>
      <w:r>
        <w:t xml:space="preserve"> </w:t>
      </w:r>
      <w:r>
        <w:t xml:space="preserve">?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 — Statistiques et Probabilités</dc:title>
  <dc:creator/>
  <dc:language>fr</dc:language>
  <cp:keywords/>
  <dcterms:created xsi:type="dcterms:W3CDTF">2026-05-23T18:14:10Z</dcterms:created>
  <dcterms:modified xsi:type="dcterms:W3CDTF">2026-05-23T18:14:10Z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1 h 30. Les documents de cours sont interdits. Une table de la loi normale \mathcal{N}(0,1) est fournie. Les calculatrices sont autorisées. Toute réponse doit être justifiée. Les résultats numériques seront arrondis à 10^{-3} près. Les valeurs suivantes sont fournies : z_{0{,}025} = 1{,}96 ; z_{0{,}005} = 2{,}58 ; \chi^2_{2\,;\,0{,}05} = 5{,}991.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2026-05-21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ece-proba</vt:lpwstr>
  </property>
  <property fmtid="{D5CDD505-2E9C-101B-9397-08002B2CF9AE}" pid="11" name="subtitle">
    <vt:lpwstr>Analyse financière · Couples de v.a.r. continues · Convergence et estimation</vt:lpwstr>
  </property>
  <property fmtid="{D5CDD505-2E9C-101B-9397-08002B2CF9AE}" pid="12" name="toc-title">
    <vt:lpwstr>Table des matières</vt:lpwstr>
  </property>
</Properties>
</file>