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bivariées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Inférence</w:t>
      </w:r>
      <w:r>
        <w:t xml:space="preserve"> </w:t>
      </w:r>
      <w:r>
        <w:t xml:space="preserve">statistique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Corrigé</w:t>
      </w:r>
      <w:r>
        <w:t xml:space="preserve"> </w:t>
      </w:r>
      <w:r>
        <w:t xml:space="preserve">détaillé</w:t>
      </w:r>
      <w:r>
        <w:t xml:space="preserve"> </w:t>
      </w:r>
      <w:r>
        <w:t xml:space="preserve">de</w:t>
      </w:r>
      <w:r>
        <w:t xml:space="preserve"> </w:t>
      </w:r>
      <w:r>
        <w:t xml:space="preserve">l’</w:t>
      </w:r>
      <w:hyperlink r:id="rId20">
        <w:r>
          <w:rPr>
            <w:rStyle w:val="Hyperlink"/>
          </w:rPr>
          <w:t xml:space="preserve">examen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(sujet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4)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3" w:name="X9125593934c39a44eb6fe50c974aaaf0f4206cf"/>
    <w:p>
      <w:pPr>
        <w:pStyle w:val="Heading2"/>
      </w:pPr>
      <w:r>
        <w:t xml:space="preserve">Exercice 1 — Statistiques bivariées (30 points)</w:t>
      </w:r>
    </w:p>
    <w:bookmarkStart w:id="21" w:name="X919661b43cbdb054de182b9b499adfc54c41604"/>
    <w:p>
      <w:pPr>
        <w:pStyle w:val="Heading3"/>
      </w:pPr>
      <w:r>
        <w:t xml:space="preserve">Partie A — Tableau de contingence et test du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(14 points)</w:t>
      </w:r>
    </w:p>
    <w:p>
      <w:pPr>
        <w:pStyle w:val="FirstParagraph"/>
      </w:pPr>
      <w:r>
        <w:t xml:space="preserve">Le tableau des effectifs observés est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Insuffisante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Complète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Fréquences marginales et distribution conditionnelle.</w:t>
      </w:r>
    </w:p>
    <w:p>
      <w:pPr>
        <w:pStyle w:val="BodyText"/>
      </w:pPr>
      <w:r>
        <w:rPr>
          <w:iCs/>
          <w:i/>
        </w:rPr>
        <w:t xml:space="preserve">Fréquences marginales de la variable Traitement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de patients sous X</m:t>
          </m:r>
          <m:r>
            <m:t>  </m:t>
          </m:r>
          <m:r>
            <m:rPr>
              <m:nor/>
              <m:sty m:val="p"/>
            </m:rPr>
            <m:t>et</m:t>
          </m:r>
          <m:r>
            <m:t>  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sous Y.</m:t>
          </m:r>
        </m:oMath>
      </m:oMathPara>
    </w:p>
    <w:p>
      <w:pPr>
        <w:pStyle w:val="FirstParagraph"/>
      </w:pPr>
      <w:r>
        <w:rPr>
          <w:iCs/>
          <w:i/>
        </w:rPr>
        <w:t xml:space="preserve">Fréquences marginales de la variable Réponse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Insuffisante,</m:t>
          </m:r>
          <m:r>
            <m:t>  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Partielle,</m:t>
          </m:r>
          <m:r>
            <m:t>  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Complète.</m:t>
          </m:r>
        </m:oMath>
      </m:oMathPara>
    </w:p>
    <w:p>
      <w:pPr>
        <w:pStyle w:val="FirstParagraph"/>
      </w:pPr>
      <w:r>
        <w:rPr>
          <w:iCs/>
          <w:i/>
        </w:rPr>
        <w:t xml:space="preserve">Distribution conditionnelle de la réponse pour le Traitement X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Insuff.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Partielle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60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Complète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le traitement X donne majoritairement une réponse partielle (60 %). On pourra comparer avec Y 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Partielle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Complète</m:t>
            </m:r>
            <m:r>
              <m:rPr>
                <m:sty m:val="p"/>
              </m:rPr>
              <m:t>∣</m:t>
            </m:r>
            <m:r>
              <m:t>Y</m:t>
            </m:r>
          </m:e>
        </m:d>
        <m:r>
          <m:rPr>
            <m:sty m:val="p"/>
          </m:rPr>
          <m:t>=</m:t>
        </m:r>
        <m:r>
          <m:t>30</m:t>
        </m:r>
        <m:r>
          <m:t> </m:t>
        </m:r>
        <m:r>
          <m:rPr>
            <m:sty m:val="p"/>
          </m:rPr>
          <m:t>%</m:t>
        </m:r>
      </m:oMath>
      <w:r>
        <w:t xml:space="preserve">. Le traitement Y semble produire davantage de réponses complètes, ce qui suggère un lien entre traitement et réponse.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Probabilités.</w:t>
      </w:r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Partielle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Traitement 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Complète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25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Traitement X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Insuffisante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.</m:t>
            </m:r>
          </m:e>
        </m:borderBox>
      </m:oMath>
      <w:r>
        <w:t xml:space="preserve"> </w:t>
      </w:r>
      <w:r>
        <w:rPr>
          <w:iCs/>
          <w:i/>
        </w:rPr>
        <w:t xml:space="preserve">(Par la formule de Bayes :</w:t>
      </w:r>
      <w:r>
        <w:rPr>
          <w:iCs/>
          <w:i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Insuff.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∩</m:t>
                </m:r>
                <m:r>
                  <m:rPr>
                    <m:nor/>
                    <m:sty m:val="p"/>
                  </m:rPr>
                  <m:t>Insuff.</m:t>
                </m:r>
              </m:e>
            </m:d>
          </m:num>
          <m:den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Insuff.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>
              <m:rPr>
                <m:sty m:val="p"/>
              </m:rPr>
              <m:t>/</m:t>
            </m:r>
            <m:r>
              <m:t>200</m:t>
            </m:r>
          </m:num>
          <m:den>
            <m:r>
              <m:t>50</m:t>
            </m:r>
            <m:r>
              <m:rPr>
                <m:sty m:val="p"/>
              </m:rPr>
              <m:t>/</m:t>
            </m:r>
            <m:r>
              <m:t>200</m:t>
            </m:r>
          </m:den>
        </m:f>
      </m:oMath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Effectifs théoriques sous l’hypothèse d’indépendance.</w:t>
      </w:r>
    </w:p>
    <w:p>
      <w:pPr>
        <w:pStyle w:val="BodyText"/>
      </w:pPr>
      <w:r>
        <w:t xml:space="preserve">Sous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(indépendance), l’effectif théorique de la case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est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•</m:t>
                  </m:r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Comme les deux lignes ont le même total (100) et les colonnes ont des totaux 50, 100, 50, tous les effectifs théoriques sont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Insuffisante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Complète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X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50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50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Traitement Y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50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50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</w:p>
        </w:tc>
      </w:tr>
    </w:tbl>
    <w:p>
      <w:pPr>
        <w:pStyle w:val="BodyText"/>
      </w:pPr>
      <w:r>
        <w:t xml:space="preserve">Tous les effectifs théoriques valent</w:t>
      </w:r>
      <w:r>
        <w:t xml:space="preserve"> </w:t>
      </w:r>
      <w:r>
        <w:rPr>
          <w:bCs/>
          <w:b/>
        </w:rPr>
        <w:t xml:space="preserve">25 ou 50</w:t>
      </w:r>
      <w:r>
        <w:t xml:space="preserve">, donc sont strictement supérieurs à 5.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Cs/>
          <w:i/>
        </w:rPr>
        <w:t xml:space="preserve">Vérification :</w:t>
      </w:r>
      <w:r>
        <w:t xml:space="preserve"> </w:t>
      </w:r>
      <w:r>
        <w:t xml:space="preserve">la somme par ligne vaut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et le total général vaut</w:t>
      </w:r>
      <w:r>
        <w:t xml:space="preserve"> </w:t>
      </w:r>
      <m:oMath>
        <m:r>
          <m:t>200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, conclusion et interprétation.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 – Insuffisante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 – Partielle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 – Complète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 – Insuffisante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 – Partielle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 – Complète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Le nombre de degrés de liberté est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,</m:t>
          </m:r>
          <m:r>
            <m:t>991</m:t>
          </m:r>
          <m:r>
            <m:rPr>
              <m:sty m:val="p"/>
            </m:rPr>
            <m:t>=</m:t>
          </m:r>
          <m:sSubSup>
            <m:e>
              <m:r>
                <m:t>χ</m:t>
              </m:r>
            </m:e>
            <m:sub>
              <m:r>
                <m:t>2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.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Conclusion :</w:t>
      </w:r>
      <w:r>
        <w:t xml:space="preserve"> </w:t>
      </w:r>
      <w:r>
        <w:t xml:space="preserve">on rejette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au seuil</w:t>
      </w:r>
      <w:r>
        <w:t xml:space="preserve"> </w:t>
      </w:r>
      <m:oMath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. Le lien entre le traitement et la réponse thérapeutique est</w:t>
      </w:r>
      <w:r>
        <w:t xml:space="preserve"> </w:t>
      </w:r>
      <w:r>
        <w:rPr>
          <w:bCs/>
          <w:b/>
        </w:rPr>
        <w:t xml:space="preserve">statistiquement significatif</w:t>
      </w:r>
      <w:r>
        <w:t xml:space="preserve">. Les cases « Partielle » contribuent le plus à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(2 chacune) : le traitement X sur-représente les réponses partielles (</w:t>
      </w:r>
      <m:oMath>
        <m:r>
          <m:t>60</m:t>
        </m:r>
        <m:r>
          <m:rPr>
            <m:sty m:val="p"/>
          </m:rPr>
          <m:t>&gt;</m:t>
        </m:r>
        <m:r>
          <m:t>50</m:t>
        </m:r>
      </m:oMath>
      <w:r>
        <w:t xml:space="preserve">) tandis que le traitement Y les sous-représente (</w:t>
      </w:r>
      <m:oMath>
        <m:r>
          <m:t>40</m:t>
        </m:r>
        <m:r>
          <m:rPr>
            <m:sty m:val="p"/>
          </m:rPr>
          <m:t>&lt;</m:t>
        </m:r>
        <m:r>
          <m:t>50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partie-b-droite-de-régression-16-points"/>
    <w:p>
      <w:pPr>
        <w:pStyle w:val="Heading3"/>
      </w:pPr>
      <w:r>
        <w:t xml:space="preserve">Partie B — Droite de régression (16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Candidat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</m:t>
              </m:r>
              <m:r>
                <m:rPr>
                  <m:sty m:val="p"/>
                </m:rPr>
                <m:t>,</m:t>
              </m:r>
            </m:e>
          </m:borderBox>
          <m:r>
            <m:t>  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10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borderBox>
            <m:e>
              <m:r>
                <m:t>10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−</m:t>
          </m:r>
          <m:r>
            <m:t>150</m:t>
          </m:r>
          <m:r>
            <m:rPr>
              <m:sty m:val="p"/>
            </m:rPr>
            <m:t>=</m:t>
          </m:r>
          <m:borderBox>
            <m:e>
              <m:r>
                <m:t>28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580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borderBox>
            <m:e>
              <m:r>
                <m:t>80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Coefficients de la droite de régression.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b</m:t>
              </m:r>
            </m:e>
          </m:acc>
          <m:r>
            <m:t> 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Équation de la droite de régression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chaque point supplémentaire au test psychométrique est associé à une augmentation moyenne de 2,8 points de l’indice de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Coefficient de corrélation et coefficient de détermination.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800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</m:t>
              </m:r>
            </m:num>
            <m:den>
              <m:r>
                <m:t>20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≈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990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784</m:t>
              </m:r>
            </m:num>
            <m:den>
              <m:r>
                <m:t>800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980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Commentaire :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990</m:t>
        </m:r>
      </m:oMath>
      <w:r>
        <w:t xml:space="preserve"> </w:t>
      </w:r>
      <w:r>
        <w:t xml:space="preserve">est très proche de 1, indiquant une</w:t>
      </w:r>
      <w:r>
        <w:t xml:space="preserve"> </w:t>
      </w:r>
      <w:r>
        <w:rPr>
          <w:bCs/>
          <w:b/>
        </w:rPr>
        <w:t xml:space="preserve">liaison linéaire quasi-parfaite</w:t>
      </w:r>
      <w:r>
        <w:t xml:space="preserve"> </w:t>
      </w:r>
      <w:r>
        <w:t xml:space="preserve">entre le score et la performance. 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signifie que la droite de régression explique 98 % de la variabilité des performances observées.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Prédiction pour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 discussion.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=</m:t>
          </m:r>
          <m:borderBox>
            <m:e>
              <m:r>
                <m:t>18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(sur 20).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Discussion :</w:t>
      </w:r>
      <w:r>
        <w:t xml:space="preserve"> </w:t>
      </w:r>
      <w:r>
        <w:t xml:space="preserve">le score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hors de l’intervalle d’observation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 </w:t>
      </w:r>
      <w:r>
        <w:t xml:space="preserve">: il s’agit d’une</w:t>
      </w:r>
      <w:r>
        <w:t xml:space="preserve"> </w:t>
      </w:r>
      <w:r>
        <w:rPr>
          <w:bCs/>
          <w:b/>
        </w:rPr>
        <w:t xml:space="preserve">extrapolation</w:t>
      </w:r>
      <w:r>
        <w:t xml:space="preserve">. Bien que la relation soit excellente sur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, rien ne garantit qu’elle reste linéaire au-delà. La prédiction de 18,4/20 doit donc être interprétée avec prudence, d’autant plus qu’elle approche le plafond de l’échelle (20/20).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 domaine d’intégration est le triangle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Vérification de la normalisation.</w:t>
      </w:r>
    </w:p>
    <w:p>
      <w:pPr>
        <w:pStyle w:val="BodyText"/>
      </w:pPr>
      <w:r>
        <w:t xml:space="preserve">On intègre d’abord sur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(pour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fixé,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) puis sur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:</w:t>
      </w:r>
    </w:p>
    <w:p>
      <w:pPr>
        <w:pStyle w:val="BodyText"/>
      </w:pPr>
      <w:r>
        <w:t xml:space="preserve">$$\iint_{\mathbb{R}^2} f(x,y)\,dx\,dy
  = \int_0^1 \int_0^{1-x} 2\,dy\,dx
  = \int_0^1 2(1-x)\,dx
  = 2\Bigl[x - \frac{x^2}{2}\Bigr]_0^1
  = 2\!\left(1 - \frac{1}{2}\right)
  = \boxed{1.} \checkmark$$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Densités marginales et indépendance.</w:t>
      </w:r>
    </w:p>
    <w:p>
      <w:pPr>
        <w:pStyle w:val="BodyText"/>
      </w:pPr>
      <w:r>
        <w:rPr>
          <w:iCs/>
          <w:i/>
        </w:rPr>
        <w:t xml:space="preserve">Densité marginale de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.</w:t>
      </w:r>
      <w:r>
        <w:t xml:space="preserve"> </w:t>
      </w: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sSub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Densité marginale de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.</w:t>
      </w:r>
      <w:r>
        <w:t xml:space="preserve"> </w:t>
      </w:r>
      <w:r>
        <w:t xml:space="preserve">Pour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rPr>
          <w:iCs/>
          <w:i/>
        </w:rPr>
        <w:t xml:space="preserve">(calcul identique par symétrie)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y</m:t>
                            </m:r>
                          </m:e>
                        </m:d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Non-indépendance.</w:t>
      </w:r>
      <w:r>
        <w:t xml:space="preserve"> </w:t>
      </w: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étaient indépendantes, on aurait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en tout point. Or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Prenons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 Ce point est hors du domaine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(car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est la frontière, mais par exemple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avec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) :</w:t>
      </w:r>
    </w:p>
    <w:p>
      <w:pPr>
        <w:pStyle w:val="BodyText"/>
      </w:pPr>
      <w:r>
        <w:t xml:space="preserve">Prenons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: hors de</w:t>
      </w:r>
      <w:r>
        <w:t xml:space="preserve"> </w:t>
      </w:r>
      <m:oMath>
        <m:r>
          <m:t>D</m:t>
        </m:r>
      </m:oMath>
      <w:r>
        <w:t xml:space="preserve">, donc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. En revanche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Donc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 et</w:t>
      </w:r>
      <w: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ne sont pas indépendantes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Espérances et variances.</w:t>
      </w:r>
    </w:p>
    <w:p>
      <w:pPr>
        <w:pStyle w:val="BodyText"/>
      </w:pPr>
      <w:r>
        <w:rPr>
          <w:iCs/>
          <w:i/>
        </w:rPr>
        <w:t xml:space="preserve">Calculs pour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, en utilisant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sur</w:t>
      </w:r>
      <w:r>
        <w:rPr>
          <w:iCs/>
          <w:i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Résultats pour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par symétrie.</w:t>
      </w:r>
      <w:r>
        <w:t xml:space="preserve"> </w:t>
      </w:r>
      <w:r>
        <w:t xml:space="preserve">Les densités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ont la même expression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sur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Les calculs sont donc identiques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(7 pts)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rPr>
          <w:bCs/>
          <w:b/>
        </w:rPr>
        <w:t xml:space="preserve">, covariance et coefficient de corrélation.</w:t>
      </w:r>
    </w:p>
    <w:p>
      <w:pPr>
        <w:pStyle w:val="BodyText"/>
      </w:pPr>
      <w:r>
        <w:t xml:space="preserve">On intègre sur le domaine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(pour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fixé,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  <m:e>
                  <m:r>
                    <m:t>2</m:t>
                  </m:r>
                </m:e>
              </m:nary>
            </m:e>
          </m:nary>
          <m:r>
            <m:t>x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x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bSup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développant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le coefficient de corrélation est</w:t>
      </w:r>
      <w:r>
        <w:t xml:space="preserve"> </w:t>
      </w:r>
      <w:r>
        <w:rPr>
          <w:bCs/>
          <w:b/>
        </w:rPr>
        <w:t xml:space="preserve">négatif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). C’est cohérent avec la contrainte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: une grande valeur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laisse peu de place à</w:t>
      </w:r>
      <w:r>
        <w:t xml:space="preserve"> </w:t>
      </w:r>
      <m:oMath>
        <m:r>
          <m:t>Y</m:t>
        </m:r>
      </m:oMath>
      <w:r>
        <w:t xml:space="preserve">, et réciproquement. La valeur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indique une dépendance négative modérée.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Densité conditionnelle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Par définition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 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Identification :</w:t>
      </w:r>
      <w:r>
        <w:t xml:space="preserve"> </w:t>
      </w:r>
      <w:r>
        <w:t xml:space="preserve">il s’agit de la</w:t>
      </w:r>
      <w:r>
        <w:t xml:space="preserve"> </w:t>
      </w:r>
      <w:r>
        <w:rPr>
          <w:bCs/>
          <w:b/>
        </w:rPr>
        <w:t xml:space="preserve">loi uniforme</w:t>
      </w:r>
      <w:r>
        <w:t xml:space="preserve"> </w:t>
      </w:r>
      <m:oMath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m:oMath>
        <m:r>
          <m:rPr>
            <m:sty m:val="p"/>
          </m:rPr>
          <m:t>✓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(9 pts)</w:t>
      </w:r>
      <w:r>
        <w:t xml:space="preserve"> </w:t>
      </w:r>
      <w:r>
        <w:rPr>
          <w:bCs/>
          <w:b/>
        </w:rPr>
        <w:t xml:space="preserve">Probabilités.</w:t>
      </w:r>
    </w:p>
    <w:p>
      <w:pPr>
        <w:pStyle w:val="BodyTex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par la loi totale des probabilités.</w:t>
      </w:r>
      <w:r>
        <w:t xml:space="preserve"> </w:t>
      </w:r>
      <w:r>
        <w:rPr>
          <w:iCs/>
          <w:i/>
        </w:rPr>
        <w:t xml:space="preserve">(5 pts)</w:t>
      </w:r>
    </w:p>
    <w:p>
      <w:pPr>
        <w:pStyle w:val="BodyText"/>
      </w:pP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on a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t xml:space="preserve">. 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la borne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est dans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</m:e>
            <m:e>
              <m:r>
                <m:t> 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on aurait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mais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(voir ci-après), et si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alors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est impossible uniquement si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est assez petit — cependant, lorsque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la valeur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donc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L’intégration est donc limitée à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2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Vérification directe :</w:t>
      </w:r>
      <w:r>
        <w:t xml:space="preserve"> </w:t>
      </w:r>
      <w:r>
        <w:t xml:space="preserve">la région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est un triangle de côtés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d’aire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 Avec la densité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à partir de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(2 pts)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</m:e>
          </m:d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(2 pts)</w:t>
      </w:r>
    </w:p>
    <w:p>
      <w:pPr>
        <w:pStyle w:val="BodyText"/>
      </w:pP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on a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</m:e>
            <m:e>
              <m:r>
                <m:t> 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7" w:name="Xe1ec8fa9d6456c7fd1f04b5dadd3328e7fcda87"/>
    <w:p>
      <w:pPr>
        <w:pStyle w:val="Heading2"/>
      </w:pPr>
      <w:r>
        <w:t xml:space="preserve">Exercice 3 — Inférence statistique (30 points)</w:t>
      </w:r>
    </w:p>
    <w:bookmarkStart w:id="25" w:name="Xcf57898f0719d964f9c484d3c9d0e9615e7df5e"/>
    <w:p>
      <w:pPr>
        <w:pStyle w:val="Heading3"/>
      </w:pPr>
      <w:r>
        <w:t xml:space="preserve">Partie A — Inégalités de concentration (10 points)</w:t>
      </w:r>
    </w:p>
    <w:p>
      <w:pPr>
        <w:pStyle w:val="FirstParagraph"/>
      </w:pPr>
      <m:oMath>
        <m:r>
          <m:t>X</m:t>
        </m:r>
      </m:oMath>
      <w:r>
        <w:t xml:space="preserve"> </w:t>
      </w:r>
      <w:r>
        <w:t xml:space="preserve">variable aléatoire positive,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Inégalité de Markov.</w:t>
      </w:r>
    </w:p>
    <w:p>
      <w:pPr>
        <w:pStyle w:val="BodyText"/>
      </w:pPr>
      <w:r>
        <w:t xml:space="preserve">Pour toute v.a. positive et tout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rPr>
            <m:sty m:val="p"/>
          </m:rPr>
          <m:t>≤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a</m:t>
        </m:r>
      </m:oMath>
      <w:r>
        <w:t xml:space="preserve">. 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12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333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Inégalité de Bienaymé-Tchebychev.</w:t>
      </w:r>
    </w:p>
    <w:p>
      <w:pPr>
        <w:pStyle w:val="BodyText"/>
      </w:pPr>
      <w:r>
        <w:t xml:space="preserve">Pour tout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≥</m:t>
            </m:r>
            <m:r>
              <m:t>ε</m:t>
            </m:r>
          </m:e>
        </m:d>
        <m:r>
          <m:rPr>
            <m:sty m:val="p"/>
          </m:rPr>
          <m:t>≤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 Avec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On remarque que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t xml:space="preserve"> </w:t>
      </w:r>
      <w:r>
        <w:t xml:space="preserve">(la positivité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assure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).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75</m:t>
              </m:r>
              <m:r>
                <m:t> 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 exact sous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 On centre-réduit 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8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9544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Commentaire :</w:t>
      </w:r>
      <w:r>
        <w:t xml:space="preserve"> </w:t>
      </w:r>
      <w:r>
        <w:t xml:space="preserve">la borne de Bienaymé-Tchebychev (</w:t>
      </w:r>
      <m:oMath>
        <m:r>
          <m:rPr>
            <m:sty m:val="p"/>
          </m:rPr>
          <m:t>≥</m:t>
        </m:r>
        <m:r>
          <m:t>75</m:t>
        </m:r>
        <m:r>
          <m:t> </m:t>
        </m:r>
        <m:r>
          <m:rPr>
            <m:sty m:val="p"/>
          </m:rPr>
          <m:t>%</m:t>
        </m:r>
      </m:oMath>
      <w:r>
        <w:t xml:space="preserve">) est très</w:t>
      </w:r>
      <w:r>
        <w:t xml:space="preserve"> </w:t>
      </w:r>
      <w:r>
        <w:rPr>
          <w:bCs/>
          <w:b/>
        </w:rPr>
        <w:t xml:space="preserve">conservative</w:t>
      </w:r>
      <w:r>
        <w:t xml:space="preserve"> </w:t>
      </w:r>
      <w:r>
        <w:t xml:space="preserve">: la vraie probabilité sous la loi normale est 95,44 %, soit bien au-delà. B-T est valable pour</w:t>
      </w:r>
      <w:r>
        <w:t xml:space="preserve"> </w:t>
      </w:r>
      <w:r>
        <w:rPr>
          <w:bCs/>
          <w:b/>
        </w:rPr>
        <w:t xml:space="preserve">toute</w:t>
      </w:r>
      <w:r>
        <w:t xml:space="preserve"> </w:t>
      </w:r>
      <w:r>
        <w:t xml:space="preserve">loi de variance finie ; sa force est l’universalité, au prix d’une grande imprécision pour les lois régulières comme la loi normale.</w:t>
      </w:r>
    </w:p>
    <w:p>
      <w:r>
        <w:pict>
          <v:rect style="width:0;height:1.5pt" o:hralign="center" o:hrstd="t" o:hr="t"/>
        </w:pict>
      </w:r>
    </w:p>
    <w:bookmarkEnd w:id="25"/>
    <w:bookmarkStart w:id="26" w:name="X9b1e1806c1ea835c8356b72ffdf542c0a944a35"/>
    <w:p>
      <w:pPr>
        <w:pStyle w:val="Heading3"/>
      </w:pPr>
      <w:r>
        <w:t xml:space="preserve">Partie B — Intervalle de confiance pour une moyenne (20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requêtes,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t xml:space="preserve">ms,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t xml:space="preserve"> </w:t>
      </w:r>
      <w:r>
        <w:t xml:space="preserve">ms² (variance corrigée, donc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ms).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Justification de l’approximation normale.</w:t>
      </w:r>
    </w:p>
    <w:p>
      <w:pPr>
        <w:pStyle w:val="BodyText"/>
      </w:pPr>
      <w:r>
        <w:t xml:space="preserve">Les 100 mesures sont indépendantes et identiquement distribuées. Par le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, 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(grand échantillon), la moyenne empirique suit approximativement une loi normale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100</m:t>
              </m:r>
            </m:sub>
          </m:sSub>
          <m:limUpp>
            <m:e>
              <m:r>
                <m:rPr>
                  <m:sty m:val="p"/>
                </m:rPr>
                <m:t>∼</m:t>
              </m:r>
            </m:e>
            <m:lim>
              <m:r>
                <m:rPr>
                  <m:nor/>
                  <m:sty m:val="p"/>
                </m:rPr>
                <m:t>approx</m:t>
              </m:r>
            </m:lim>
          </m:limUpp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substitue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(inconnu)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  <m:scr m:val="script"/>
                </m:rPr>
                <m:t>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225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avec 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100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Intervalle de confiance à 95 %.</w:t>
      </w:r>
    </w:p>
    <w:p>
      <w:pPr>
        <w:pStyle w:val="BodyText"/>
      </w:pPr>
      <w:r>
        <w:t xml:space="preserve">La formule est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, avec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72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940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69</m:t>
                  </m:r>
                  <m:r>
                    <m:rPr>
                      <m:sty m:val="p"/>
                    </m:rPr>
                    <m:t>,</m:t>
                  </m:r>
                  <m:r>
                    <m:t>060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74</m:t>
                  </m:r>
                  <m:r>
                    <m:rPr>
                      <m:sty m:val="p"/>
                    </m:rPr>
                    <m:t>,</m:t>
                  </m:r>
                  <m:r>
                    <m:t>940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on est certain à 95 % que le vrai temps de réponse moyen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est compris entre 69,06 ms et 74,94 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Intervalle de confiance à 99 %.</w:t>
      </w:r>
    </w:p>
    <w:p>
      <w:pPr>
        <w:pStyle w:val="BodyText"/>
      </w:pPr>
      <w:r>
        <w:t xml:space="preserve">On utilise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72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±</m:t>
          </m:r>
          <m:r>
            <m:t>3</m:t>
          </m:r>
          <m:r>
            <m:rPr>
              <m:sty m:val="p"/>
            </m:rPr>
            <m:t>,</m:t>
          </m:r>
          <m:r>
            <m:t>870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99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68</m:t>
                  </m:r>
                  <m:r>
                    <m:rPr>
                      <m:sty m:val="p"/>
                    </m:rPr>
                    <m:t>,</m:t>
                  </m:r>
                  <m:r>
                    <m:t>130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75</m:t>
                  </m:r>
                  <m:r>
                    <m:rPr>
                      <m:sty m:val="p"/>
                    </m:rPr>
                    <m:t>,</m:t>
                  </m:r>
                  <m:r>
                    <m:t>870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l’IC à 99 % est plus large (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t>87</m:t>
        </m:r>
      </m:oMath>
      <w:r>
        <w:t xml:space="preserve"> </w:t>
      </w:r>
      <w:r>
        <w:t xml:space="preserve">ms) que celui à 95 % (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t>94</m:t>
        </m:r>
      </m:oMath>
      <w:r>
        <w:t xml:space="preserve"> </w:t>
      </w:r>
      <w:r>
        <w:t xml:space="preserve">ms) : une plus grande confiance exige un intervalle plus conservateur.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Effectif minimal pour une demi-largeur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ms.</w:t>
      </w:r>
    </w:p>
    <w:p>
      <w:pPr>
        <w:pStyle w:val="BodyText"/>
      </w:pPr>
      <w:r>
        <w:t xml:space="preserve">On cherche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tel que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025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15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isole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t>15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  <m:r>
                <m:rPr>
                  <m:sty m:val="p"/>
                </m:rPr>
                <m:t>,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élevant au carré 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r>
            <m:t>14</m:t>
          </m:r>
          <m:r>
            <m:rPr>
              <m:sty m:val="p"/>
            </m:rPr>
            <m:t>,</m:t>
          </m:r>
          <m:sSup>
            <m:e>
              <m:r>
                <m:t>7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216</m:t>
          </m:r>
          <m:r>
            <m:rPr>
              <m:sty m:val="p"/>
            </m:rPr>
            <m:t>,</m:t>
          </m:r>
          <m:r>
            <m:t>09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217</m:t>
              </m:r>
              <m:r>
                <m:rPr>
                  <m:nor/>
                  <m:sty m:val="p"/>
                </m:rPr>
                <m:t> requêtes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avec 217 requêtes (au lieu de 100), la demi-largeur de l’IC à 95 % passe de 2,94 ms à 2 ms. Pour diviser la demi-largeur par un facteur</w:t>
      </w:r>
      <w:r>
        <w:t xml:space="preserve"> </w:t>
      </w:r>
      <m:oMath>
        <m:r>
          <m:t>k</m:t>
        </m:r>
      </m:oMath>
      <w:r>
        <w:t xml:space="preserve">, il faut multiplier la taille de l’échantillon par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nal-revision-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nal-revision-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Examen · Statistiques et Probabilités</dc:title>
  <dc:creator/>
  <dc:language>fr</dc:language>
  <cp:keywords/>
  <dcterms:created xsi:type="dcterms:W3CDTF">2026-05-23T18:14:14Z</dcterms:created>
  <dcterms:modified xsi:type="dcterms:W3CDTF">2026-05-23T18:14:14Z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Corrigé détaillé de l’examen (sujet 4).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Statistiques bivariées · Couples de v.a.r. continues · Inférence statistique</vt:lpwstr>
  </property>
  <property fmtid="{D5CDD505-2E9C-101B-9397-08002B2CF9AE}" pid="12" name="toc-title">
    <vt:lpwstr>Table des matières</vt:lpwstr>
  </property>
</Properties>
</file>