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Révision</w:t>
      </w:r>
      <w:r>
        <w:t xml:space="preserve"> </w:t>
      </w:r>
      <w:r>
        <w:t xml:space="preserve">—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·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Statistiques</w:t>
      </w:r>
      <w:r>
        <w:t xml:space="preserve"> </w:t>
      </w:r>
      <w:r>
        <w:t xml:space="preserve">bivariées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Convergence</w:t>
      </w:r>
      <w:r>
        <w:t xml:space="preserve"> </w:t>
      </w:r>
      <w:r>
        <w:t xml:space="preserve">et</w:t>
      </w:r>
      <w:r>
        <w:t xml:space="preserve"> </w:t>
      </w:r>
      <w:r>
        <w:t xml:space="preserve">estimation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30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  <w:r>
        <w:t xml:space="preserve"> </w:t>
      </w:r>
      <w:r>
        <w:t xml:space="preserve">Les</w:t>
      </w:r>
      <w:r>
        <w:t xml:space="preserve"> </w:t>
      </w:r>
      <w:r>
        <w:t xml:space="preserve">valeurs</w:t>
      </w:r>
      <w:r>
        <w:t xml:space="preserve"> </w:t>
      </w:r>
      <w:r>
        <w:t xml:space="preserve">suivantes</w:t>
      </w:r>
      <w:r>
        <w:t xml:space="preserve"> </w:t>
      </w:r>
      <w:r>
        <w:t xml:space="preserve">sont</w:t>
      </w:r>
      <w:r>
        <w:t xml:space="preserve"> </w:t>
      </w:r>
      <w:r>
        <w:t xml:space="preserve">fournies</w:t>
      </w:r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;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40 pts · Exercice 3 — 30 pts</w:t>
      </w:r>
    </w:p>
    <w:p>
      <w:r>
        <w:pict>
          <v:rect style="width:0;height:1.5pt" o:hralign="center" o:hrstd="t" o:hr="t"/>
        </w:pict>
      </w:r>
    </w:p>
    <w:bookmarkStart w:id="22" w:name="X9125593934c39a44eb6fe50c974aaaf0f4206cf"/>
    <w:p>
      <w:pPr>
        <w:pStyle w:val="Heading2"/>
      </w:pPr>
      <w:r>
        <w:t xml:space="preserve">Exercice 1 — Statistiques bivariées (30 points)</w:t>
      </w:r>
    </w:p>
    <w:bookmarkStart w:id="20" w:name="Xad3fc7300a98d60707e7cfdc4cf2da5a13e0a18"/>
    <w:p>
      <w:pPr>
        <w:pStyle w:val="Heading3"/>
      </w:pPr>
      <w:r>
        <w:t xml:space="preserve">Partie A — Tableau de contingence et test du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(16 points)</w:t>
      </w:r>
    </w:p>
    <w:p>
      <w:pPr>
        <w:pStyle w:val="FirstParagraph"/>
      </w:pPr>
      <w:r>
        <w:t xml:space="preserve">Une enquête de satisfaction est menée auprès de</w:t>
      </w:r>
      <w:r>
        <w:t xml:space="preserve"> </w:t>
      </w:r>
      <w:r>
        <w:rPr>
          <w:bCs/>
          <w:b/>
        </w:rPr>
        <w:t xml:space="preserve">200 salariés</w:t>
      </w:r>
      <w:r>
        <w:t xml:space="preserve"> </w:t>
      </w:r>
      <w:r>
        <w:t xml:space="preserve">d’une entreprise.</w:t>
      </w:r>
      <w:r>
        <w:t xml:space="preserve"> </w:t>
      </w:r>
      <w:r>
        <w:t xml:space="preserve">On croise deux variables :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: Cadre, Non-cadre ;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niveau de satisfaction</w:t>
      </w:r>
      <w:r>
        <w:t xml:space="preserve"> </w:t>
      </w:r>
      <w:r>
        <w:t xml:space="preserve">: Insatisfait, Neutre, Satisfait.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Insatisfait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Satisfait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Cadre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Non-cadre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fréquences marginales</w:t>
      </w:r>
      <w:r>
        <w:t xml:space="preserve"> </w:t>
      </w:r>
      <w:r>
        <w:t xml:space="preserve">(en %) de chaque variable.</w:t>
      </w:r>
      <w:r>
        <w:t xml:space="preserve"> </w:t>
      </w:r>
      <w:r>
        <w:t xml:space="preserve">Donner la</w:t>
      </w:r>
      <w:r>
        <w:t xml:space="preserve"> </w:t>
      </w:r>
      <w:r>
        <w:rPr>
          <w:bCs/>
          <w:b/>
        </w:rPr>
        <w:t xml:space="preserve">distribution conditionnelle</w:t>
      </w:r>
      <w:r>
        <w:t xml:space="preserve"> </w:t>
      </w:r>
      <w:r>
        <w:t xml:space="preserve">du niveau de satisfaction pour les</w:t>
      </w:r>
      <w:r>
        <w:t xml:space="preserve"> </w:t>
      </w:r>
      <w:r>
        <w:t xml:space="preserve">non-cadres et interpréter.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Insatisfait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Cadre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Satisfait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Cadre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Neutre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effectifs théoriques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sous l’hypothèse</w:t>
      </w:r>
      <w:r>
        <w:t xml:space="preserve"> </w:t>
      </w:r>
      <w:r>
        <w:t xml:space="preserve">d’indépendance. Vérifier qu’ils sont tous supérieurs à 5.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la</w:t>
      </w:r>
      <w:r>
        <w:t xml:space="preserve"> </w:t>
      </w:r>
      <w:r>
        <w:rPr>
          <w:bCs/>
          <w:b/>
        </w:rPr>
        <w:t xml:space="preserve">statistique du test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Conclure au seuil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en comparant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à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Interpréter le résultat en termes de lien entre le statut et le</w:t>
      </w:r>
      <w:r>
        <w:t xml:space="preserve"> </w:t>
      </w:r>
      <w:r>
        <w:t xml:space="preserve">niveau de satisfaction. Quelle case contribue le plus à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0"/>
    <w:bookmarkStart w:id="21" w:name="partie-b-droite-de-régression-14-points"/>
    <w:p>
      <w:pPr>
        <w:pStyle w:val="Heading3"/>
      </w:pPr>
      <w:r>
        <w:t xml:space="preserve">Partie B — Droite de régression (14 points)</w:t>
      </w:r>
    </w:p>
    <w:p>
      <w:pPr>
        <w:pStyle w:val="FirstParagraph"/>
      </w:pPr>
      <w:r>
        <w:t xml:space="preserve">Un analyste relève, pour 5 actifs financiers, la</w:t>
      </w:r>
      <w:r>
        <w:t xml:space="preserve"> </w:t>
      </w:r>
      <w:r>
        <w:rPr>
          <w:bCs/>
          <w:b/>
        </w:rPr>
        <w:t xml:space="preserve">volatilité annuelle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 %) et le</w:t>
      </w:r>
      <w:r>
        <w:t xml:space="preserve"> </w:t>
      </w:r>
      <w:r>
        <w:rPr>
          <w:bCs/>
          <w:b/>
        </w:rPr>
        <w:t xml:space="preserve">rendement moyen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 %)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Actif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iCs/>
          <w:i/>
        </w:rPr>
        <w:t xml:space="preserve">On donne 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112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230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puis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Déterminer les coefficients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et écrire l’équation de la droite de régression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</w:t>
      </w:r>
      <w:r>
        <w:t xml:space="preserve"> </w:t>
      </w:r>
      <w:r>
        <w:rPr>
          <w:bCs/>
          <w:b/>
        </w:rPr>
        <w:t xml:space="preserve">coefficient de corrélation de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 </m:t>
            </m:r>
            <m:sSub>
              <m:e>
                <m:r>
                  <m:t>S</m:t>
                </m:r>
              </m:e>
              <m:sub>
                <m:r>
                  <m:t>y</m:t>
                </m:r>
                <m:r>
                  <m:t>y</m:t>
                </m:r>
              </m:sub>
            </m:sSub>
          </m:e>
        </m:rad>
      </m:oMath>
      <w:r>
        <w:t xml:space="preserve"> </w:t>
      </w:r>
      <w:r>
        <w:t xml:space="preserve">et le coefficient de 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Commenter la qualité de l’ajustement.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Un sixième actif a une volatilité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. Donner la</w:t>
      </w:r>
      <w:r>
        <w:t xml:space="preserve"> </w:t>
      </w:r>
      <w:r>
        <w:t xml:space="preserve">prédiction de son rendement et discuter la fiabilité de cette extrapolation.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un couple de variables aléatoires dont la</w:t>
      </w:r>
      <w:r>
        <w:t xml:space="preserve"> </w:t>
      </w:r>
      <w:r>
        <w:rPr>
          <w:bCs/>
          <w:b/>
        </w:rPr>
        <w:t xml:space="preserve">densité conjointe</w:t>
      </w:r>
      <w:r>
        <w:t xml:space="preserve"> </w:t>
      </w:r>
      <w:r>
        <w:t xml:space="preserve">est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Vérifier que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2</m:t>
                </m:r>
              </m:sup>
            </m:sSup>
          </m:sub>
          <m:sup>
            <m:r>
              <m:t>​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(Préciser le domaine d’intégration et justifier le calcul par l’ordre choisi.)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densités marginales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sur</w:t>
      </w:r>
      <w:r>
        <w:t xml:space="preserve"> </w:t>
      </w:r>
      <w:r>
        <w:t xml:space="preserve">leur support respectif. Vérifier dans chaque cas que la densité intègre à 1.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Montrer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 sont</w:t>
      </w:r>
      <w:r>
        <w:t xml:space="preserve"> </w:t>
      </w:r>
      <w:r>
        <w:rPr>
          <w:bCs/>
          <w:b/>
        </w:rPr>
        <w:t xml:space="preserve">pas indépendantes</w:t>
      </w:r>
      <w:r>
        <w:t xml:space="preserve">.</w:t>
      </w:r>
      <w:r>
        <w:t xml:space="preserve"> </w:t>
      </w:r>
      <w:r>
        <w:rPr>
          <w:iCs/>
          <w:i/>
        </w:rPr>
        <w:t xml:space="preserve">(Comparer</w:t>
      </w:r>
      <w:r>
        <w:rPr>
          <w:iCs/>
          <w:i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au produit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pour un couple de valeurs</w:t>
      </w:r>
      <w:r>
        <w:rPr>
          <w:iCs/>
          <w:i/>
        </w:rPr>
        <w:t xml:space="preserve"> </w:t>
      </w:r>
      <w:r>
        <w:rPr>
          <w:iCs/>
          <w:i/>
        </w:rPr>
        <w:t xml:space="preserve">particulier.)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  <w:r>
        <w:t xml:space="preserve"> </w:t>
      </w:r>
      <w:r>
        <w:t xml:space="preserve">Puis 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(7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t xml:space="preserve">, puis la</w:t>
      </w:r>
      <w:r>
        <w:t xml:space="preserve"> </w:t>
      </w:r>
      <w:r>
        <w:rPr>
          <w:bCs/>
          <w:b/>
        </w:rPr>
        <w:t xml:space="preserve">covariance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coefficient de corrélation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t> 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rad>
      </m:oMath>
      <w:r>
        <w:t xml:space="preserve">.</w:t>
      </w:r>
      <w:r>
        <w:t xml:space="preserve"> </w:t>
      </w:r>
      <w:r>
        <w:t xml:space="preserve">Interpréter le signe et la valeur de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densité conditionnelle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 Reconnaître la loi de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et vérifier la</w:t>
      </w:r>
      <w:r>
        <w:t xml:space="preserve"> </w:t>
      </w:r>
      <w:r>
        <w:t xml:space="preserve">normalisation.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En utilisant la densité conditionnelle de la question 6,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  <w:r>
        <w:t xml:space="preserve"> </w:t>
      </w:r>
      <w:r>
        <w:rPr>
          <w:iCs/>
          <w:i/>
        </w:rPr>
        <w:t xml:space="preserve">(On pourra conditionner par</w:t>
      </w:r>
      <w:r>
        <w:rPr>
          <w:iCs/>
          <w:i/>
        </w:rPr>
        <w:t xml:space="preserve"> </w:t>
      </w:r>
      <m:oMath>
        <m:r>
          <m:t>X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et utiliser la loi totale des probabilités.)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à partir de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puis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|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 </m:t>
            </m:r>
          </m:e>
          <m:e>
            <m:r>
              <m:t> </m:t>
            </m:r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Xe83e29d819126e37c1dd9d62a5e9e10bc22334b"/>
    <w:p>
      <w:pPr>
        <w:pStyle w:val="Heading2"/>
      </w:pPr>
      <w:r>
        <w:t xml:space="preserve">Exercice 3 — Convergence et inférence statistique (30 points)</w:t>
      </w:r>
    </w:p>
    <w:bookmarkStart w:id="24" w:name="X8df7288c27619d8e40f0711027c6e27dbe300e6"/>
    <w:p>
      <w:pPr>
        <w:pStyle w:val="Heading3"/>
      </w:pPr>
      <w:r>
        <w:t xml:space="preserve">Partie A — Inégalités de concentration (8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variable aléatoire</w:t>
      </w:r>
      <w:r>
        <w:t xml:space="preserve"> </w:t>
      </w:r>
      <w:r>
        <w:rPr>
          <w:bCs/>
          <w:b/>
        </w:rPr>
        <w:t xml:space="preserve">positive</w:t>
      </w:r>
      <w:r>
        <w:t xml:space="preserve">, d’espérance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et de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Markov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18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Bienaymé-Tchebychev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  <m:r>
              <m:rPr>
                <m:sty m:val="p"/>
              </m:rPr>
              <m:t>≥</m:t>
            </m:r>
            <m:r>
              <m:t>6</m:t>
            </m:r>
          </m:e>
        </m:d>
      </m:oMath>
      <w:r>
        <w:t xml:space="preserve">. En déduire une borne inférieure de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12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On suppose maintenant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 </m:t>
            </m:r>
            <m:r>
              <m:t>9</m:t>
            </m:r>
          </m:e>
        </m:d>
      </m:oMath>
      <w:r>
        <w:t xml:space="preserve">.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12</m:t>
            </m:r>
          </m:e>
        </m:d>
      </m:oMath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à l’aide de la table</w:t>
      </w:r>
      <w:r>
        <w:t xml:space="preserve"> </w:t>
      </w:r>
      <m:oMath>
        <m:r>
          <m:t>Φ</m:t>
        </m:r>
      </m:oMath>
      <w:r>
        <w:t xml:space="preserve">, et</w:t>
      </w:r>
      <w:r>
        <w:t xml:space="preserve"> </w:t>
      </w:r>
      <w:r>
        <w:t xml:space="preserve">comparer avec la borne de la question 2. Commenter.</w:t>
      </w:r>
    </w:p>
    <w:p>
      <w:r>
        <w:pict>
          <v:rect style="width:0;height:1.5pt" o:hralign="center" o:hrstd="t" o:hr="t"/>
        </w:pict>
      </w:r>
    </w:p>
    <w:bookmarkEnd w:id="24"/>
    <w:bookmarkStart w:id="25" w:name="X989dba4272208f51f09d97ff639d3c2536b639d"/>
    <w:p>
      <w:pPr>
        <w:pStyle w:val="Heading3"/>
      </w:pPr>
      <w:r>
        <w:t xml:space="preserve">Partie B — Maximum de vraisemblance (10 points)</w:t>
      </w:r>
    </w:p>
    <w:p>
      <w:pPr>
        <w:pStyle w:val="FirstParagraph"/>
      </w:pPr>
      <w:r>
        <w:t xml:space="preserve">Des temps de traitement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sont supposés</w:t>
      </w:r>
      <w:r>
        <w:t xml:space="preserve"> </w:t>
      </w:r>
      <w:r>
        <w:rPr>
          <w:bCs/>
          <w:b/>
        </w:rPr>
        <w:t xml:space="preserve">i.i.d.</w:t>
      </w:r>
      <w:r>
        <w:t xml:space="preserve"> </w:t>
      </w:r>
      <w:r>
        <w:t xml:space="preserve">de loi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de densité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  <m:r>
          <m:rPr>
            <m:sty m:val="p"/>
          </m:rPr>
          <m:t>=</m:t>
        </m:r>
        <m:r>
          <m:t>λ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pour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Écrire la</w:t>
      </w:r>
      <w:r>
        <w:t xml:space="preserve"> </w:t>
      </w:r>
      <w:r>
        <w:rPr>
          <w:bCs/>
          <w:b/>
        </w:rPr>
        <w:t xml:space="preserve">vraisemblance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</m:oMath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log-vraisemblance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</w:t>
      </w:r>
      <w:r>
        <w:t xml:space="preserve"> </w:t>
      </w:r>
      <w:r>
        <w:rPr>
          <w:iCs/>
          <w:i/>
        </w:rPr>
        <w:t xml:space="preserve">(Simplifier au maximum les deux expressions.)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</m:oMath>
      <w:r>
        <w:t xml:space="preserve"> </w:t>
      </w:r>
      <w:r>
        <w:t xml:space="preserve">et résoudre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pour déterminer l’</w:t>
      </w:r>
      <w:r>
        <w:rPr>
          <w:bCs/>
          <w:b/>
        </w:rPr>
        <w:t xml:space="preserve">estimateur du maximum de</w:t>
      </w:r>
      <w:r>
        <w:rPr>
          <w:bCs/>
          <w:b/>
        </w:rPr>
        <w:t xml:space="preserve"> </w:t>
      </w:r>
      <w:r>
        <w:rPr>
          <w:bCs/>
          <w:b/>
        </w:rPr>
        <w:t xml:space="preserve">vraisemblance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Sur un échantillon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observations, on mesure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s. Calculer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et estimer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f39ddeda65737c7d7a09102e8e59a26cb1b29ae"/>
    <w:p>
      <w:pPr>
        <w:pStyle w:val="Heading3"/>
      </w:pPr>
      <w:r>
        <w:t xml:space="preserve">Partie C — Intervalle de confiance pour une moyenne (12 points)</w:t>
      </w:r>
    </w:p>
    <w:p>
      <w:pPr>
        <w:pStyle w:val="FirstParagraph"/>
      </w:pPr>
      <w:r>
        <w:t xml:space="preserve">On mesure le temps de réponse (en ms) d’une API sur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requêtes</w:t>
      </w:r>
      <w:r>
        <w:t xml:space="preserve"> </w:t>
      </w:r>
      <w:r>
        <w:t xml:space="preserve">indépendantes. On obtient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 xml:space="preserve">ms et une</w:t>
      </w:r>
      <w:r>
        <w:t xml:space="preserve"> </w:t>
      </w:r>
      <w:r>
        <w:rPr>
          <w:bCs/>
          <w:b/>
        </w:rPr>
        <w:t xml:space="preserve">variance empirique corrigée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ms².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Justifier pourquoi on peut utiliser la loi normale pour</w:t>
      </w:r>
      <w:r>
        <w:t xml:space="preserve"> </w:t>
      </w:r>
      <w:r>
        <w:t xml:space="preserve">construire un intervalle de confiance pour</w:t>
      </w:r>
      <w:r>
        <w:t xml:space="preserve"> </w:t>
      </w:r>
      <m:oMath>
        <m:r>
          <m:t>μ</m:t>
        </m:r>
      </m:oMath>
      <w:r>
        <w:t xml:space="preserve">. Donner la loi approchée de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t xml:space="preserve"> </w:t>
      </w:r>
      <w:r>
        <w:t xml:space="preserve">et préciser ses paramètres.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99 %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En conservant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ms comme estimation de</w:t>
      </w:r>
      <w:r>
        <w:t xml:space="preserve"> </w:t>
      </w:r>
      <m:oMath>
        <m:r>
          <m:t>σ</m:t>
        </m:r>
      </m:oMath>
      <w:r>
        <w:t xml:space="preserve">, quel</w:t>
      </w:r>
      <w:r>
        <w:t xml:space="preserve"> </w:t>
      </w:r>
      <w:r>
        <w:t xml:space="preserve">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faut-il pour que la demi-largeur de l’IC à 95 % soit</w:t>
      </w:r>
      <w:r>
        <w:t xml:space="preserve"> </w:t>
      </w:r>
      <w:r>
        <w:t xml:space="preserve">inférieure ou égale à</w:t>
      </w:r>
      <w:r>
        <w:t xml:space="preserve"> </w:t>
      </w:r>
      <w:r>
        <w:rPr>
          <w:bCs/>
          <w:b/>
        </w:rPr>
        <w:t xml:space="preserve">2 ms</w:t>
      </w:r>
      <w:r>
        <w:t xml:space="preserve"> </w:t>
      </w:r>
      <w:r>
        <w:t xml:space="preserve">?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Révision — Examen Final · Statistiques et Probabilités</dc:title>
  <dc:creator/>
  <dc:language>fr</dc:language>
  <cp:keywords/>
  <dcterms:created xsi:type="dcterms:W3CDTF">2026-05-23T18:14:17Z</dcterms:created>
  <dcterms:modified xsi:type="dcterms:W3CDTF">2026-05-23T18:14:17Z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1 h 30. Les documents de cours sont interdits. Une table de la loi normale \mathcal{N}(0,1) est fournie. Les calculatrices sont autorisées. Toute réponse doit être justifiée. Les résultats numériques seront arrondis à 10^{-3} près. Les valeurs suivantes sont fournies : z_{0{,}025} = 1{,}96 ; z_{0{,}005} = 2{,}58 ; \chi^2_{2\,;\,0{,}05} = 5{,}991.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2026-05-19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ece-proba</vt:lpwstr>
  </property>
  <property fmtid="{D5CDD505-2E9C-101B-9397-08002B2CF9AE}" pid="11" name="subtitle">
    <vt:lpwstr>Statistiques bivariées · Couples de v.a.r. continues · Convergence et estimation</vt:lpwstr>
  </property>
  <property fmtid="{D5CDD505-2E9C-101B-9397-08002B2CF9AE}" pid="12" name="toc-title">
    <vt:lpwstr>Table des matières</vt:lpwstr>
  </property>
</Properties>
</file>