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</w:t>
      </w:r>
      <w:r>
        <w:t xml:space="preserve"> </w:t>
      </w:r>
      <w:r>
        <w:t xml:space="preserve">(Sujet</w:t>
      </w:r>
      <w:r>
        <w:t xml:space="preserve"> </w:t>
      </w:r>
      <w:r>
        <w:t xml:space="preserve">3)</w:t>
      </w:r>
      <w:r>
        <w:t xml:space="preserve"> </w:t>
      </w:r>
      <w:r>
        <w:t xml:space="preserve">—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Statistiques</w:t>
      </w:r>
      <w:r>
        <w:t xml:space="preserve"> </w:t>
      </w:r>
      <w:r>
        <w:t xml:space="preserve">descriptives</w:t>
      </w:r>
      <w:r>
        <w:t xml:space="preserve"> </w:t>
      </w:r>
      <w:r>
        <w:t xml:space="preserve">·</w:t>
      </w:r>
      <w:r>
        <w:t xml:space="preserve"> </w:t>
      </w: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</w:t>
      </w:r>
      <w:r>
        <w:t xml:space="preserve"> </w:t>
      </w:r>
      <w:r>
        <w:t xml:space="preserve">:</w:t>
      </w:r>
      <w:r>
        <w:t xml:space="preserve"> </w:t>
      </w:r>
      <w:r>
        <w:rPr>
          <w:bCs/>
          <w:b/>
        </w:rPr>
        <w:t xml:space="preserve">1</w:t>
      </w:r>
      <w:r>
        <w:rPr>
          <w:bCs/>
          <w:b/>
        </w:rPr>
        <w:t xml:space="preserve"> </w:t>
      </w:r>
      <w:r>
        <w:rPr>
          <w:bCs/>
          <w:b/>
        </w:rPr>
        <w:t xml:space="preserve">h</w:t>
      </w:r>
      <w:r>
        <w:rPr>
          <w:bCs/>
          <w:b/>
        </w:rPr>
        <w:t xml:space="preserve"> </w:t>
      </w:r>
      <w:r>
        <w:rPr>
          <w:bCs/>
          <w:b/>
        </w:rPr>
        <w:t xml:space="preserve">30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documents</w:t>
      </w:r>
      <w:r>
        <w:t xml:space="preserve"> </w:t>
      </w:r>
      <w:r>
        <w:t xml:space="preserve">de</w:t>
      </w:r>
      <w:r>
        <w:t xml:space="preserve"> </w:t>
      </w:r>
      <w:r>
        <w:t xml:space="preserve">cours</w:t>
      </w:r>
      <w:r>
        <w:t xml:space="preserve"> </w:t>
      </w:r>
      <w:r>
        <w:t xml:space="preserve">sont</w:t>
      </w:r>
      <w:r>
        <w:t xml:space="preserve"> </w:t>
      </w:r>
      <w:r>
        <w:rPr>
          <w:bCs/>
          <w:b/>
        </w:rPr>
        <w:t xml:space="preserve">interdits</w:t>
      </w:r>
      <w:r>
        <w:t xml:space="preserve">.</w:t>
      </w:r>
      <w:r>
        <w:t xml:space="preserve"> </w:t>
      </w:r>
      <w:r>
        <w:t xml:space="preserve">Une</w:t>
      </w:r>
      <w:r>
        <w:t xml:space="preserve"> </w:t>
      </w:r>
      <w:r>
        <w:t xml:space="preserve">table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w:r>
        <w:t xml:space="preserve">fournie.</w:t>
      </w:r>
      <w:r>
        <w:t xml:space="preserve"> </w:t>
      </w:r>
      <w:r>
        <w:t xml:space="preserve">Les</w:t>
      </w:r>
      <w:r>
        <w:t xml:space="preserve"> </w:t>
      </w:r>
      <w:r>
        <w:t xml:space="preserve">calculatrices</w:t>
      </w:r>
      <w:r>
        <w:t xml:space="preserve"> </w:t>
      </w:r>
      <w:r>
        <w:t xml:space="preserve">sont</w:t>
      </w:r>
      <w:r>
        <w:t xml:space="preserve"> </w:t>
      </w:r>
      <w:r>
        <w:t xml:space="preserve">autorisées.</w:t>
      </w:r>
      <w:r>
        <w:t xml:space="preserve"> </w:t>
      </w:r>
      <w:r>
        <w:t xml:space="preserve">Toute</w:t>
      </w:r>
      <w:r>
        <w:t xml:space="preserve"> </w:t>
      </w:r>
      <w:r>
        <w:t xml:space="preserve">réponse</w:t>
      </w:r>
      <w:r>
        <w:t xml:space="preserve"> </w:t>
      </w:r>
      <w:r>
        <w:t xml:space="preserve">doit</w:t>
      </w:r>
      <w:r>
        <w:t xml:space="preserve"> </w:t>
      </w:r>
      <w:r>
        <w:t xml:space="preserve">être</w:t>
      </w:r>
      <w:r>
        <w:t xml:space="preserve"> </w:t>
      </w:r>
      <w:r>
        <w:rPr>
          <w:bCs/>
          <w:b/>
        </w:rPr>
        <w:t xml:space="preserve">justifiée</w:t>
      </w:r>
      <w:r>
        <w:t xml:space="preserve">.</w:t>
      </w:r>
      <w:r>
        <w:t xml:space="preserve"> </w:t>
      </w:r>
      <w:r>
        <w:t xml:space="preserve">Les</w:t>
      </w:r>
      <w:r>
        <w:t xml:space="preserve"> </w:t>
      </w:r>
      <w:r>
        <w:t xml:space="preserve">résultats</w:t>
      </w:r>
      <w:r>
        <w:t xml:space="preserve"> </w:t>
      </w:r>
      <w:r>
        <w:t xml:space="preserve">numériques</w:t>
      </w:r>
      <w:r>
        <w:t xml:space="preserve"> </w:t>
      </w:r>
      <w:r>
        <w:t xml:space="preserve">seront</w:t>
      </w:r>
      <w:r>
        <w:t xml:space="preserve"> </w:t>
      </w:r>
      <w:r>
        <w:t xml:space="preserve">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22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20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</w:t>
      </w:r>
      <w:r>
        <w:t xml:space="preserve"> </w:t>
      </w:r>
      <w:r>
        <w:rPr>
          <w:bCs/>
          <w:b/>
        </w:rPr>
        <w:t xml:space="preserve">formule de</w:t>
      </w:r>
      <w:r>
        <w:rPr>
          <w:bCs/>
          <w:b/>
        </w:rPr>
        <w:t xml:space="preserve"> </w:t>
      </w:r>
      <w:r>
        <w:rPr>
          <w:bCs/>
          <w:b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à l’aide des</w:t>
      </w:r>
      <w:r>
        <w:t xml:space="preserve"> </w:t>
      </w:r>
      <w:r>
        <w:rPr>
          <w:bCs/>
          <w:b/>
        </w:rPr>
        <w:t xml:space="preserve">centres</w:t>
      </w:r>
      <w:r>
        <w:rPr>
          <w:bCs/>
          <w:b/>
        </w:rPr>
        <w:t xml:space="preserve"> </w:t>
      </w:r>
      <w:r>
        <w:rPr>
          <w:bCs/>
          <w:b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1</m:t>
            </m:r>
          </m:e>
        </m:d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Cs/>
          <w:b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Cs/>
          <w:b/>
        </w:rPr>
        <w:t xml:space="preserve">fonction de</w:t>
      </w:r>
      <w:r>
        <w:rPr>
          <w:bCs/>
          <w:b/>
        </w:rPr>
        <w:t xml:space="preserve"> </w:t>
      </w:r>
      <w:r>
        <w:rPr>
          <w:bCs/>
          <w:b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Cs/>
          <w:b/>
        </w:rPr>
        <w:t xml:space="preserve">symétrique par rapport à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Vérifier cette propriété de symétrie.</w:t>
      </w:r>
    </w:p>
    <w:p>
      <w:pPr>
        <w:numPr>
          <w:ilvl w:val="0"/>
          <w:numId w:val="1001"/>
        </w:numPr>
        <w:pStyle w:val="Compact"/>
      </w:pPr>
      <w:r>
        <w:t xml:space="preserve">En déduire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puis 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1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7" w:name="exercice-3-loi-normale-35-points"/>
    <w:p>
      <w:pPr>
        <w:pStyle w:val="Heading2"/>
      </w:pPr>
      <w:r>
        <w:t xml:space="preserve">Exercice 3 — Loi normale (35 points)</w:t>
      </w:r>
    </w:p>
    <w:bookmarkStart w:id="24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. On rappelle 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67</m:t>
            </m:r>
          </m:e>
        </m:d>
      </m:oMath>
      <w:r>
        <w:t xml:space="preserve">,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33</m:t>
            </m:r>
          </m:e>
        </m:d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Calculer :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265</m:t>
            </m:r>
          </m:e>
        </m:d>
      </m:oMath>
      <w:r>
        <w:t xml:space="preserve">,</w:t>
      </w:r>
    </w:p>
    <w:p>
      <w:pPr>
        <w:numPr>
          <w:ilvl w:val="0"/>
          <w:numId w:val="1004"/>
        </w:numPr>
        <w:pStyle w:val="Compact"/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235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260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250</m:t>
            </m:r>
            <m:r>
              <m:rPr>
                <m:sty m:val="p"/>
              </m:rPr>
              <m:t>,</m:t>
            </m:r>
            <m:r>
              <m:t> </m:t>
            </m:r>
            <m:r>
              <m:t>100</m:t>
            </m:r>
          </m:e>
        </m:d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numPr>
          <w:ilvl w:val="0"/>
          <w:numId w:val="1005"/>
        </w:numPr>
        <w:pStyle w:val="Compact"/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numPr>
          <w:ilvl w:val="0"/>
          <w:numId w:val="1005"/>
        </w:numPr>
        <w:pStyle w:val="Compact"/>
      </w:pPr>
      <w:r>
        <w:t xml:space="preserve">Calculer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&gt;</m:t>
            </m:r>
            <m:r>
              <m:t>1030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sait que :</w:t>
      </w:r>
    </w:p>
    <w:p>
      <w:pPr>
        <w:numPr>
          <w:ilvl w:val="0"/>
          <w:numId w:val="1006"/>
        </w:numPr>
        <w:pStyle w:val="Compact"/>
      </w:pPr>
      <w:r>
        <w:t xml:space="preserve">84,13 % des composants ont une durée de vie inférieure à</w:t>
      </w:r>
      <w:r>
        <w:t xml:space="preserve"> </w:t>
      </w:r>
      <w:r>
        <w:rPr>
          <w:bCs/>
          <w:b/>
        </w:rPr>
        <w:t xml:space="preserve">540 heures</w:t>
      </w:r>
      <w:r>
        <w:t xml:space="preserve">,</w:t>
      </w:r>
    </w:p>
    <w:p>
      <w:pPr>
        <w:numPr>
          <w:ilvl w:val="0"/>
          <w:numId w:val="1006"/>
        </w:numPr>
        <w:pStyle w:val="Compact"/>
      </w:pPr>
      <w:r>
        <w:t xml:space="preserve">97,72 % des composants ont une durée de vie inférieure à</w:t>
      </w:r>
      <w:r>
        <w:t xml:space="preserve"> </w:t>
      </w:r>
      <w:r>
        <w:rPr>
          <w:bCs/>
          <w:b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2026-05-05T20:55:06Z</dcterms:created>
  <dcterms:modified xsi:type="dcterms:W3CDTF">2026-05-05T20:55:06Z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stats-prob</vt:lpwstr>
  </property>
  <property fmtid="{D5CDD505-2E9C-101B-9397-08002B2CF9AE}" pid="12" name="subtitle">
    <vt:lpwstr>Statistiques descriptives · Variables aléatoires à densité · Loi normale</vt:lpwstr>
  </property>
  <property fmtid="{D5CDD505-2E9C-101B-9397-08002B2CF9AE}" pid="13" name="toc-title">
    <vt:lpwstr>Table des matières</vt:lpwstr>
  </property>
</Properties>
</file>