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Examen</w:t>
      </w:r>
      <w:r>
        <w:t xml:space="preserve"> </w:t>
      </w:r>
      <w:r>
        <w:t xml:space="preserve">—</w:t>
      </w:r>
      <w:r>
        <w:t xml:space="preserve"> </w:t>
      </w:r>
      <w:r>
        <w:t xml:space="preserve">Statistiques</w:t>
      </w:r>
      <w:r>
        <w:t xml:space="preserve"> </w:t>
      </w:r>
      <w:r>
        <w:t xml:space="preserve">et</w:t>
      </w:r>
      <w:r>
        <w:t xml:space="preserve"> </w:t>
      </w:r>
      <w:r>
        <w:t xml:space="preserve">Probabilités</w:t>
      </w:r>
    </w:p>
    <w:p>
      <w:pPr>
        <w:pStyle w:val="Subtitle"/>
      </w:pPr>
      <w:r>
        <w:t xml:space="preserve">Statistiques</w:t>
      </w:r>
      <w:r>
        <w:t xml:space="preserve"> </w:t>
      </w:r>
      <w:r>
        <w:t xml:space="preserve">bivariées</w:t>
      </w:r>
      <w:r>
        <w:t xml:space="preserve"> </w:t>
      </w:r>
      <w:r>
        <w:t xml:space="preserve">·</w:t>
      </w:r>
      <w:r>
        <w:t xml:space="preserve"> </w:t>
      </w:r>
      <w:r>
        <w:t xml:space="preserve">Couples</w:t>
      </w:r>
      <w:r>
        <w:t xml:space="preserve"> </w:t>
      </w:r>
      <w:r>
        <w:t xml:space="preserve">de</w:t>
      </w:r>
      <w:r>
        <w:t xml:space="preserve"> </w:t>
      </w:r>
      <w:r>
        <w:t xml:space="preserve">v.a.r.</w:t>
      </w:r>
      <w:r>
        <w:t xml:space="preserve"> </w:t>
      </w:r>
      <w:r>
        <w:t xml:space="preserve">continues</w:t>
      </w:r>
      <w:r>
        <w:t xml:space="preserve"> </w:t>
      </w:r>
      <w:r>
        <w:t xml:space="preserve">·</w:t>
      </w:r>
      <w:r>
        <w:t xml:space="preserve"> </w:t>
      </w:r>
      <w:r>
        <w:t xml:space="preserve">Inférence</w:t>
      </w:r>
      <w:r>
        <w:t xml:space="preserve"> </w:t>
      </w:r>
      <w:r>
        <w:t xml:space="preserve">statistique</w:t>
      </w:r>
    </w:p>
    <w:p>
      <w:pPr>
        <w:pStyle w:val="AbstractTitle"/>
      </w:pPr>
      <w:r>
        <w:t xml:space="preserve">Résumé</w:t>
      </w:r>
    </w:p>
    <w:p>
      <w:pPr>
        <w:pStyle w:val="Abstract"/>
      </w:pPr>
      <w:r>
        <w:t xml:space="preserve">Durée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1</w:t>
      </w:r>
      <w:r>
        <w:rPr>
          <w:bCs/>
          <w:b/>
        </w:rPr>
        <w:t xml:space="preserve"> </w:t>
      </w:r>
      <w:r>
        <w:rPr>
          <w:bCs/>
          <w:b/>
        </w:rPr>
        <w:t xml:space="preserve">h</w:t>
      </w:r>
      <w:r>
        <w:rPr>
          <w:bCs/>
          <w:b/>
        </w:rPr>
        <w:t xml:space="preserve"> </w:t>
      </w:r>
      <w:r>
        <w:rPr>
          <w:bCs/>
          <w:b/>
        </w:rPr>
        <w:t xml:space="preserve">15</w:t>
      </w:r>
      <w:r>
        <w:t xml:space="preserve">.</w:t>
      </w:r>
      <w:r>
        <w:t xml:space="preserve"> </w:t>
      </w:r>
      <w:r>
        <w:t xml:space="preserve">Les</w:t>
      </w:r>
      <w:r>
        <w:t xml:space="preserve"> </w:t>
      </w:r>
      <w:r>
        <w:t xml:space="preserve">documents</w:t>
      </w:r>
      <w:r>
        <w:t xml:space="preserve"> </w:t>
      </w:r>
      <w:r>
        <w:t xml:space="preserve">de</w:t>
      </w:r>
      <w:r>
        <w:t xml:space="preserve"> </w:t>
      </w:r>
      <w:r>
        <w:t xml:space="preserve">cours</w:t>
      </w:r>
      <w:r>
        <w:t xml:space="preserve"> </w:t>
      </w:r>
      <w:r>
        <w:t xml:space="preserve">sont</w:t>
      </w:r>
      <w:r>
        <w:t xml:space="preserve"> </w:t>
      </w:r>
      <w:r>
        <w:rPr>
          <w:bCs/>
          <w:b/>
        </w:rPr>
        <w:t xml:space="preserve">interdits</w:t>
      </w:r>
      <w:r>
        <w:t xml:space="preserve">.</w:t>
      </w:r>
      <w:r>
        <w:t xml:space="preserve"> </w:t>
      </w:r>
      <w:r>
        <w:t xml:space="preserve">Une</w:t>
      </w:r>
      <w:r>
        <w:t xml:space="preserve"> </w:t>
      </w:r>
      <w:r>
        <w:t xml:space="preserve">table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loi</w:t>
      </w:r>
      <w:r>
        <w:t xml:space="preserve"> </w:t>
      </w:r>
      <w:r>
        <w:t xml:space="preserve">normale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est</w:t>
      </w:r>
      <w:r>
        <w:t xml:space="preserve"> </w:t>
      </w:r>
      <w:r>
        <w:t xml:space="preserve">fournie.</w:t>
      </w:r>
      <w:r>
        <w:t xml:space="preserve"> </w:t>
      </w:r>
      <w:r>
        <w:t xml:space="preserve">Les</w:t>
      </w:r>
      <w:r>
        <w:t xml:space="preserve"> </w:t>
      </w:r>
      <w:r>
        <w:t xml:space="preserve">calculatrices</w:t>
      </w:r>
      <w:r>
        <w:t xml:space="preserve"> </w:t>
      </w:r>
      <w:r>
        <w:t xml:space="preserve">sont</w:t>
      </w:r>
      <w:r>
        <w:t xml:space="preserve"> </w:t>
      </w:r>
      <w:r>
        <w:t xml:space="preserve">autorisées.</w:t>
      </w:r>
      <w:r>
        <w:t xml:space="preserve"> </w:t>
      </w:r>
      <w:r>
        <w:t xml:space="preserve">Toute</w:t>
      </w:r>
      <w:r>
        <w:t xml:space="preserve"> </w:t>
      </w:r>
      <w:r>
        <w:t xml:space="preserve">réponse</w:t>
      </w:r>
      <w:r>
        <w:t xml:space="preserve"> </w:t>
      </w:r>
      <w:r>
        <w:t xml:space="preserve">doit</w:t>
      </w:r>
      <w:r>
        <w:t xml:space="preserve"> </w:t>
      </w:r>
      <w:r>
        <w:t xml:space="preserve">être</w:t>
      </w:r>
      <w:r>
        <w:t xml:space="preserve"> </w:t>
      </w:r>
      <w:r>
        <w:rPr>
          <w:bCs/>
          <w:b/>
        </w:rPr>
        <w:t xml:space="preserve">justifiée</w:t>
      </w:r>
      <w:r>
        <w:t xml:space="preserve">.</w:t>
      </w:r>
      <w:r>
        <w:t xml:space="preserve"> </w:t>
      </w:r>
      <w:r>
        <w:t xml:space="preserve">Les</w:t>
      </w:r>
      <w:r>
        <w:t xml:space="preserve"> </w:t>
      </w:r>
      <w:r>
        <w:t xml:space="preserve">résultats</w:t>
      </w:r>
      <w:r>
        <w:t xml:space="preserve"> </w:t>
      </w:r>
      <w:r>
        <w:t xml:space="preserve">numériques</w:t>
      </w:r>
      <w:r>
        <w:t xml:space="preserve"> </w:t>
      </w:r>
      <w:r>
        <w:t xml:space="preserve">seront</w:t>
      </w:r>
      <w:r>
        <w:t xml:space="preserve"> </w:t>
      </w:r>
      <w:r>
        <w:t xml:space="preserve">arrondis</w:t>
      </w:r>
      <w:r>
        <w:t xml:space="preserve"> </w:t>
      </w:r>
      <w:r>
        <w:t xml:space="preserve">à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près.</w:t>
      </w:r>
      <w:r>
        <w:t xml:space="preserve"> </w:t>
      </w:r>
      <w:r>
        <w:t xml:space="preserve">Les</w:t>
      </w:r>
      <w:r>
        <w:t xml:space="preserve"> </w:t>
      </w:r>
      <w:r>
        <w:t xml:space="preserve">valeurs</w:t>
      </w:r>
      <w:r>
        <w:t xml:space="preserve"> </w:t>
      </w:r>
      <w:r>
        <w:t xml:space="preserve">suivantes</w:t>
      </w:r>
      <w:r>
        <w:t xml:space="preserve"> </w:t>
      </w:r>
      <w:r>
        <w:t xml:space="preserve">sont</w:t>
      </w:r>
      <w:r>
        <w:t xml:space="preserve"> </w:t>
      </w:r>
      <w:r>
        <w:t xml:space="preserve">fournies</w:t>
      </w:r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025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96</m:t>
        </m:r>
      </m:oMath>
      <w:r>
        <w:t xml:space="preserve"> </w:t>
      </w:r>
      <w:r>
        <w:t xml:space="preserve">;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005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58</m:t>
        </m:r>
      </m:oMath>
      <w:r>
        <w:t xml:space="preserve"> </w:t>
      </w:r>
      <w:r>
        <w:t xml:space="preserve">;</w:t>
      </w:r>
      <w:r>
        <w:t xml:space="preserve"> </w:t>
      </w:r>
      <m:oMath>
        <m:sSubSup>
          <m:e>
            <m:r>
              <m:t>χ</m:t>
            </m:r>
          </m:e>
          <m:sub>
            <m:r>
              <m:t>2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0</m:t>
            </m:r>
            <m:r>
              <m:rPr>
                <m:sty m:val="p"/>
              </m:rPr>
              <m:t>,</m:t>
            </m:r>
            <m:r>
              <m:t>05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991</m:t>
        </m:r>
      </m:oMath>
      <w:r>
        <w:t xml:space="preserve">.</w:t>
      </w:r>
    </w:p>
    <w:p>
      <w:pPr>
        <w:pStyle w:val="BlockText"/>
      </w:pPr>
      <w:r>
        <w:rPr>
          <w:bCs/>
          <w:b/>
        </w:rPr>
        <w:t xml:space="preserve">Barème indicatif :</w:t>
      </w:r>
      <w:r>
        <w:t xml:space="preserve"> </w:t>
      </w:r>
      <w:r>
        <w:t xml:space="preserve">Exercice 1 — 30 pts · Exercice 2 — 40 pts · Exercice 3 — 30 pts</w:t>
      </w:r>
    </w:p>
    <w:p>
      <w:r>
        <w:pict>
          <v:rect style="width:0;height:1.5pt" o:hralign="center" o:hrstd="t" o:hr="t"/>
        </w:pict>
      </w:r>
    </w:p>
    <w:bookmarkStart w:id="22" w:name="X9125593934c39a44eb6fe50c974aaaf0f4206cf"/>
    <w:p>
      <w:pPr>
        <w:pStyle w:val="Heading2"/>
      </w:pPr>
      <w:r>
        <w:t xml:space="preserve">Exercice 1 — Statistiques bivariées (30 points)</w:t>
      </w:r>
    </w:p>
    <w:bookmarkStart w:id="20" w:name="X919661b43cbdb054de182b9b499adfc54c41604"/>
    <w:p>
      <w:pPr>
        <w:pStyle w:val="Heading3"/>
      </w:pPr>
      <w:r>
        <w:t xml:space="preserve">Partie A — Tableau de contingence et test du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(14 points)</w:t>
      </w:r>
    </w:p>
    <w:p>
      <w:pPr>
        <w:pStyle w:val="FirstParagraph"/>
      </w:pPr>
      <w:r>
        <w:t xml:space="preserve">Un essai clinique compare deux traitements auprès de</w:t>
      </w:r>
      <w:r>
        <w:t xml:space="preserve"> </w:t>
      </w:r>
      <w:r>
        <w:rPr>
          <w:bCs/>
          <w:b/>
        </w:rPr>
        <w:t xml:space="preserve">200 patients</w:t>
      </w:r>
      <w:r>
        <w:t xml:space="preserve">.</w:t>
      </w:r>
      <w:r>
        <w:t xml:space="preserve"> </w:t>
      </w:r>
      <w:r>
        <w:t xml:space="preserve">On croise deux variables :</w:t>
      </w:r>
    </w:p>
    <w:p>
      <w:pPr>
        <w:numPr>
          <w:ilvl w:val="0"/>
          <w:numId w:val="1001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traitement</w:t>
      </w:r>
      <w:r>
        <w:t xml:space="preserve"> </w:t>
      </w:r>
      <w:r>
        <w:t xml:space="preserve">reçu : X, Y ;</w:t>
      </w:r>
    </w:p>
    <w:p>
      <w:pPr>
        <w:numPr>
          <w:ilvl w:val="0"/>
          <w:numId w:val="1001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réponse thérapeutique</w:t>
      </w:r>
      <w:r>
        <w:t xml:space="preserve"> </w:t>
      </w:r>
      <w:r>
        <w:t xml:space="preserve">: Insuffisante, Partielle, Complète.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Insuffisante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Partielle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Complète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Traitement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Traitement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200</w:t>
            </w:r>
          </w:p>
        </w:tc>
      </w:tr>
    </w:tbl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Calculer les</w:t>
      </w:r>
      <w:r>
        <w:t xml:space="preserve"> </w:t>
      </w:r>
      <w:r>
        <w:rPr>
          <w:bCs/>
          <w:b/>
        </w:rPr>
        <w:t xml:space="preserve">fréquences marginales</w:t>
      </w:r>
      <w:r>
        <w:t xml:space="preserve"> </w:t>
      </w:r>
      <w:r>
        <w:t xml:space="preserve">(en %) de chaque variable.</w:t>
      </w:r>
      <w:r>
        <w:t xml:space="preserve"> </w:t>
      </w:r>
      <w:r>
        <w:t xml:space="preserve">Donner la</w:t>
      </w:r>
      <w:r>
        <w:t xml:space="preserve"> </w:t>
      </w:r>
      <w:r>
        <w:rPr>
          <w:bCs/>
          <w:b/>
        </w:rPr>
        <w:t xml:space="preserve">distribution conditionnelle</w:t>
      </w:r>
      <w:r>
        <w:t xml:space="preserve"> </w:t>
      </w:r>
      <w:r>
        <w:t xml:space="preserve">de la réponse thérapeutique pour</w:t>
      </w:r>
      <w:r>
        <w:t xml:space="preserve"> </w:t>
      </w:r>
      <w:r>
        <w:t xml:space="preserve">les patients du traitement X et interpréter.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Calculer les probabilités suivantes :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Partielle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Traitement Y</m:t>
            </m:r>
          </m:e>
        </m:d>
      </m:oMath>
      <w:r>
        <w:t xml:space="preserve">,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Complète</m:t>
            </m:r>
          </m:e>
        </m:d>
      </m:oMath>
      <w:r>
        <w:t xml:space="preserve">,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Traitement X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Insuffisante</m:t>
            </m:r>
          </m:e>
        </m:d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Calculer les</w:t>
      </w:r>
      <w:r>
        <w:t xml:space="preserve"> </w:t>
      </w:r>
      <w:r>
        <w:rPr>
          <w:bCs/>
          <w:b/>
        </w:rPr>
        <w:t xml:space="preserve">effectifs théoriques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sous l’hypothèse</w:t>
      </w:r>
      <w:r>
        <w:t xml:space="preserve"> </w:t>
      </w:r>
      <w:r>
        <w:t xml:space="preserve">d’indépendance. Vérifier qu’ils sont tous supérieurs à 5.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Calculer la</w:t>
      </w:r>
      <w:r>
        <w:t xml:space="preserve"> </w:t>
      </w:r>
      <w:r>
        <w:rPr>
          <w:bCs/>
          <w:b/>
        </w:rPr>
        <w:t xml:space="preserve">statistique du test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o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Conclure au seuil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en comparant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à</w:t>
      </w:r>
      <w:r>
        <w:t xml:space="preserve"> </w:t>
      </w:r>
      <m:oMath>
        <m:sSubSup>
          <m:e>
            <m:r>
              <m:t>χ</m:t>
            </m:r>
          </m:e>
          <m:sub>
            <m:r>
              <m:t>2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0</m:t>
            </m:r>
            <m:r>
              <m:rPr>
                <m:sty m:val="p"/>
              </m:rPr>
              <m:t>,</m:t>
            </m:r>
            <m:r>
              <m:t>05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991</m:t>
        </m:r>
      </m:oMath>
      <w:r>
        <w:t xml:space="preserve">.</w:t>
      </w:r>
      <w:r>
        <w:t xml:space="preserve"> </w:t>
      </w:r>
      <w:r>
        <w:t xml:space="preserve">Interpréter le résultat en termes de lien entre le traitement et la réponse.</w:t>
      </w:r>
    </w:p>
    <w:p>
      <w:r>
        <w:pict>
          <v:rect style="width:0;height:1.5pt" o:hralign="center" o:hrstd="t" o:hr="t"/>
        </w:pict>
      </w:r>
    </w:p>
    <w:bookmarkEnd w:id="20"/>
    <w:bookmarkStart w:id="21" w:name="partie-b-droite-de-régression-16-points"/>
    <w:p>
      <w:pPr>
        <w:pStyle w:val="Heading3"/>
      </w:pPr>
      <w:r>
        <w:t xml:space="preserve">Partie B — Droite de régression (16 points)</w:t>
      </w:r>
    </w:p>
    <w:p>
      <w:pPr>
        <w:pStyle w:val="FirstParagraph"/>
      </w:pPr>
      <w:r>
        <w:t xml:space="preserve">Un recruteur souhaite prédire la performance de candidats à partir d’un test</w:t>
      </w:r>
      <w:r>
        <w:t xml:space="preserve"> </w:t>
      </w:r>
      <w:r>
        <w:t xml:space="preserve">psychométrique. Il dispose des données de 5 candidats : le score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au test</w:t>
      </w:r>
      <w:r>
        <w:t xml:space="preserve"> </w:t>
      </w:r>
      <w:r>
        <w:t xml:space="preserve">(sur 10) et l’indice de performance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mesuré 6 mois après l’embauche (sur 20).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Candidat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Score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Performance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</w:tbl>
    <w:p>
      <w:pPr>
        <w:pStyle w:val="BodyText"/>
      </w:pPr>
      <w:r>
        <w:rPr>
          <w:iCs/>
          <w:i/>
        </w:rPr>
        <w:t xml:space="preserve">On donne 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55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178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Sup>
              <m:e>
                <m:r>
                  <m:t>y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580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Calculer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puis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x</m:t>
              </m:r>
            </m:e>
          </m:acc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Déterminer les coefficients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et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t>b</m:t>
            </m:r>
          </m:e>
        </m:acc>
        <m:r>
          <m:t> 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et écrire l’équation de la droite de régression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b</m:t>
            </m:r>
          </m:e>
        </m:acc>
        <m:r>
          <m:t> 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Calculer le</w:t>
      </w:r>
      <w:r>
        <w:t xml:space="preserve"> </w:t>
      </w:r>
      <w:r>
        <w:rPr>
          <w:bCs/>
          <w:b/>
        </w:rPr>
        <w:t xml:space="preserve">coefficient de corrélation de Pearson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  <m:r>
              <m:t> </m:t>
            </m:r>
            <m:sSub>
              <m:e>
                <m:r>
                  <m:t>S</m:t>
                </m:r>
              </m:e>
              <m:sub>
                <m:r>
                  <m:t>y</m:t>
                </m:r>
                <m:r>
                  <m:t>y</m:t>
                </m:r>
              </m:sub>
            </m:sSub>
          </m:e>
        </m:rad>
      </m:oMath>
      <w:r>
        <w:t xml:space="preserve"> </w:t>
      </w:r>
      <w:r>
        <w:t xml:space="preserve">et le coefficient de détermination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Commenter la qualité de l’ajustement.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Un sixième candidat obtient un score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. Donner la</w:t>
      </w:r>
      <w:r>
        <w:t xml:space="preserve"> </w:t>
      </w:r>
      <w:r>
        <w:t xml:space="preserve">prédiction de sa performance. Cette prédiction est-elle fiable ? Justifier.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dffbcb4d3f6bf9eb53f7d670741fcacce27ec23"/>
    <w:p>
      <w:pPr>
        <w:pStyle w:val="Heading2"/>
      </w:pPr>
      <w:r>
        <w:t xml:space="preserve">Exercice 2 — Couple de variables aléatoires continues (40 points)</w:t>
      </w:r>
    </w:p>
    <w:p>
      <w:pPr>
        <w:pStyle w:val="FirstParagraph"/>
      </w:pPr>
      <w:r>
        <w:t xml:space="preserve">Soit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un couple de variables aléatoires dont la</w:t>
      </w:r>
      <w:r>
        <w:t xml:space="preserve"> </w:t>
      </w:r>
      <w:r>
        <w:rPr>
          <w:bCs/>
          <w:b/>
        </w:rPr>
        <w:t xml:space="preserve">densité conjointe</w:t>
      </w:r>
      <w:r>
        <w:t xml:space="preserve"> </w:t>
      </w:r>
      <w:r>
        <w:t xml:space="preserve">est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sinon.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Vérifier que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sSup>
              <m:e>
                <m:r>
                  <m:rPr>
                    <m:sty m:val="p"/>
                    <m:scr m:val="double-struck"/>
                  </m:rPr>
                  <m:t>R</m:t>
                </m:r>
              </m:e>
              <m:sup>
                <m:r>
                  <m:t>2</m:t>
                </m:r>
              </m:sup>
            </m:sSup>
          </m:sub>
          <m:sup>
            <m:r>
              <m:t>​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rPr>
          <w:iCs/>
          <w:i/>
        </w:rPr>
        <w:t xml:space="preserve">(Préciser le domaine d’intégration, choisir un ordre d’intégration et justifier.)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t xml:space="preserve">Calculer les</w:t>
      </w:r>
      <w:r>
        <w:t xml:space="preserve"> </w:t>
      </w:r>
      <w:r>
        <w:rPr>
          <w:bCs/>
          <w:b/>
        </w:rPr>
        <w:t xml:space="preserve">densités marginales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sur</w:t>
      </w:r>
      <w:r>
        <w:t xml:space="preserve"> </w:t>
      </w:r>
      <w:r>
        <w:t xml:space="preserve">leur support respectif. Vérifier dans chaque cas que la densité intègre à 1.</w:t>
      </w:r>
      <w:r>
        <w:t xml:space="preserve"> </w:t>
      </w:r>
      <w:r>
        <w:t xml:space="preserve">Puis montrer, en comparant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au produit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, que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 sont</w:t>
      </w:r>
      <w:r>
        <w:t xml:space="preserve"> </w:t>
      </w:r>
      <w:r>
        <w:rPr>
          <w:bCs/>
          <w:b/>
        </w:rPr>
        <w:t xml:space="preserve">pas indépendantes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t xml:space="preserve">Calculer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</w:t>
      </w:r>
      <w:r>
        <w:t xml:space="preserve"> </w:t>
      </w:r>
      <w:r>
        <w:t xml:space="preserve">Sans nouveau calcul, donner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en justifiant</w:t>
      </w:r>
      <w:r>
        <w:t xml:space="preserve"> </w:t>
      </w:r>
      <w:r>
        <w:t xml:space="preserve">par un argument de symétrie.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(7 pts)</w:t>
      </w:r>
      <w:r>
        <w:t xml:space="preserve"> </w:t>
      </w:r>
      <w:r>
        <w:t xml:space="preserve">Calculer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  <m:r>
              <m:t>Y</m:t>
            </m:r>
          </m:e>
        </m:d>
      </m:oMath>
      <w:r>
        <w:t xml:space="preserve">, puis la</w:t>
      </w:r>
      <w:r>
        <w:t xml:space="preserve"> </w:t>
      </w:r>
      <w:r>
        <w:rPr>
          <w:bCs/>
          <w:b/>
        </w:rPr>
        <w:t xml:space="preserve">covariance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et le</w:t>
      </w:r>
      <w:r>
        <w:t xml:space="preserve"> </w:t>
      </w:r>
      <w:r>
        <w:rPr>
          <w:bCs/>
          <w:b/>
        </w:rPr>
        <w:t xml:space="preserve">coefficient de corrélation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t> 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</m:e>
            </m:d>
          </m:e>
        </m:rad>
      </m:oMath>
      <w:r>
        <w:t xml:space="preserve">.</w:t>
      </w:r>
      <w:r>
        <w:t xml:space="preserve"> </w:t>
      </w:r>
      <w:r>
        <w:t xml:space="preserve">Interpréter le signe de</w:t>
      </w:r>
      <w:r>
        <w:t xml:space="preserve"> </w:t>
      </w:r>
      <m:oMath>
        <m:r>
          <m:t>ρ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Déterminer la</w:t>
      </w:r>
      <w:r>
        <w:t xml:space="preserve"> </w:t>
      </w:r>
      <w:r>
        <w:rPr>
          <w:bCs/>
          <w:b/>
        </w:rPr>
        <w:t xml:space="preserve">densité conditionnelle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de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sachant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(pour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). Reconnaître la loi de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et vérifier la normalisation.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(9 pts)</w:t>
      </w:r>
      <w:r>
        <w:t xml:space="preserve"> </w:t>
      </w:r>
      <w:r>
        <w:t xml:space="preserve">En utilisant la densité conditionnelle de la question 5 :</w:t>
      </w:r>
    </w:p>
    <w:p>
      <w:pPr>
        <w:numPr>
          <w:ilvl w:val="0"/>
          <w:numId w:val="1003"/>
        </w:numPr>
      </w:pPr>
      <w:r>
        <w:rPr>
          <w:iCs/>
          <w:i/>
        </w:rPr>
        <w:t xml:space="preserve">(5 pts)</w:t>
      </w:r>
      <w:r>
        <w:t xml:space="preserve"> </w:t>
      </w:r>
      <w:r>
        <w:t xml:space="preserve">Calculer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.</w:t>
      </w:r>
      <w:r>
        <w:t xml:space="preserve"> </w:t>
      </w:r>
      <w:r>
        <w:rPr>
          <w:iCs/>
          <w:i/>
        </w:rPr>
        <w:t xml:space="preserve">(On conditionnera par</w:t>
      </w:r>
      <w:r>
        <w:rPr>
          <w:iCs/>
          <w:i/>
        </w:rPr>
        <w:t xml:space="preserve"> </w:t>
      </w:r>
      <m:oMath>
        <m:r>
          <m:t>X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et on utilisera la loi totale des probabilités.)</w:t>
      </w:r>
    </w:p>
    <w:p>
      <w:pPr>
        <w:numPr>
          <w:ilvl w:val="0"/>
          <w:numId w:val="1003"/>
        </w:numPr>
      </w:pPr>
      <w:r>
        <w:rPr>
          <w:iCs/>
          <w:i/>
        </w:rPr>
        <w:t xml:space="preserve">(2 pts)</w:t>
      </w:r>
      <w:r>
        <w:t xml:space="preserve"> </w:t>
      </w:r>
      <w:r>
        <w:t xml:space="preserve">Calculer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à partir de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rPr>
          <w:iCs/>
          <w:i/>
        </w:rPr>
        <w:t xml:space="preserve">(2 pts)</w:t>
      </w:r>
      <w:r>
        <w:t xml:space="preserve"> </w:t>
      </w:r>
      <w:r>
        <w:t xml:space="preserve">Calculer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|"/>
            <m:grow/>
          </m:dPr>
          <m:e>
            <m:r>
              <m:t>Y</m:t>
            </m:r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t> </m:t>
            </m:r>
          </m:e>
          <m:e>
            <m:r>
              <m:t> </m:t>
            </m:r>
            <m:r>
              <m:t>X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6" w:name="Xe1ec8fa9d6456c7fd1f04b5dadd3328e7fcda87"/>
    <w:p>
      <w:pPr>
        <w:pStyle w:val="Heading2"/>
      </w:pPr>
      <w:r>
        <w:t xml:space="preserve">Exercice 3 — Inférence statistique (30 points)</w:t>
      </w:r>
    </w:p>
    <w:bookmarkStart w:id="24" w:name="Xcf57898f0719d964f9c484d3c9d0e9615e7df5e"/>
    <w:p>
      <w:pPr>
        <w:pStyle w:val="Heading3"/>
      </w:pPr>
      <w:r>
        <w:t xml:space="preserve">Partie A — Inégalités de concentration (10 points)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une variable aléatoire</w:t>
      </w:r>
      <w:r>
        <w:t xml:space="preserve"> </w:t>
      </w:r>
      <w:r>
        <w:rPr>
          <w:bCs/>
          <w:b/>
        </w:rPr>
        <w:t xml:space="preserve">positive</w:t>
      </w:r>
      <w:r>
        <w:t xml:space="preserve">, d’espérance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et de variance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En appliquant l’</w:t>
      </w:r>
      <w:r>
        <w:rPr>
          <w:bCs/>
          <w:b/>
        </w:rPr>
        <w:t xml:space="preserve">inégalité de Markov</w:t>
      </w:r>
      <w:r>
        <w:t xml:space="preserve">, majorer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12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En appliquant l’</w:t>
      </w:r>
      <w:r>
        <w:rPr>
          <w:bCs/>
          <w:b/>
        </w:rPr>
        <w:t xml:space="preserve">inégalité de Bienaymé-Tchebychev</w:t>
      </w:r>
      <w:r>
        <w:t xml:space="preserve">, majorer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  <m:r>
              <m:rPr>
                <m:sty m:val="p"/>
              </m:rPr>
              <m:t>≥</m:t>
            </m:r>
            <m:r>
              <m:t>4</m:t>
            </m:r>
          </m:e>
        </m:d>
      </m:oMath>
      <w:r>
        <w:t xml:space="preserve">. En déduire une borne inférieure de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8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On suppose maintenant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 </m:t>
            </m:r>
            <m:r>
              <m:t>4</m:t>
            </m:r>
          </m:e>
        </m:d>
      </m:oMath>
      <w:r>
        <w:t xml:space="preserve">.</w:t>
      </w:r>
      <w:r>
        <w:t xml:space="preserve"> </w:t>
      </w:r>
      <w:r>
        <w:t xml:space="preserve">Calculer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8</m:t>
            </m:r>
          </m:e>
        </m:d>
      </m:oMath>
      <w:r>
        <w:t xml:space="preserve"> </w:t>
      </w:r>
      <w:r>
        <w:rPr>
          <w:bCs/>
          <w:b/>
        </w:rPr>
        <w:t xml:space="preserve">exactement</w:t>
      </w:r>
      <w:r>
        <w:t xml:space="preserve"> </w:t>
      </w:r>
      <w:r>
        <w:t xml:space="preserve">à l’aide de la table</w:t>
      </w:r>
      <w:r>
        <w:t xml:space="preserve"> </w:t>
      </w:r>
      <m:oMath>
        <m:r>
          <m:t>Φ</m:t>
        </m:r>
      </m:oMath>
      <w:r>
        <w:t xml:space="preserve">, et</w:t>
      </w:r>
      <w:r>
        <w:t xml:space="preserve"> </w:t>
      </w:r>
      <w:r>
        <w:t xml:space="preserve">comparer avec la borne de la question 2. Commenter.</w:t>
      </w:r>
    </w:p>
    <w:p>
      <w:r>
        <w:pict>
          <v:rect style="width:0;height:1.5pt" o:hralign="center" o:hrstd="t" o:hr="t"/>
        </w:pict>
      </w:r>
    </w:p>
    <w:bookmarkEnd w:id="24"/>
    <w:bookmarkStart w:id="25" w:name="X9b1e1806c1ea835c8356b72ffdf542c0a944a35"/>
    <w:p>
      <w:pPr>
        <w:pStyle w:val="Heading3"/>
      </w:pPr>
      <w:r>
        <w:t xml:space="preserve">Partie B — Intervalle de confiance pour une moyenne (20 points)</w:t>
      </w:r>
    </w:p>
    <w:p>
      <w:pPr>
        <w:pStyle w:val="FirstParagraph"/>
      </w:pPr>
      <w:r>
        <w:t xml:space="preserve">On mesure le temps de réponse (en ms) d’un service web sur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requêtes</w:t>
      </w:r>
      <w:r>
        <w:t xml:space="preserve"> </w:t>
      </w:r>
      <w:r>
        <w:t xml:space="preserve">indépendantes. On obtient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 </w:t>
      </w:r>
      <w:r>
        <w:t xml:space="preserve">ms et une</w:t>
      </w:r>
      <w:r>
        <w:t xml:space="preserve"> </w:t>
      </w:r>
      <w:r>
        <w:rPr>
          <w:bCs/>
          <w:b/>
        </w:rPr>
        <w:t xml:space="preserve">variance empirique corrigée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225</m:t>
        </m:r>
      </m:oMath>
      <w:r>
        <w:t xml:space="preserve"> </w:t>
      </w:r>
      <w:r>
        <w:t xml:space="preserve">ms².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Justifier pourquoi on peut utiliser la loi normale pour</w:t>
      </w:r>
      <w:r>
        <w:t xml:space="preserve"> </w:t>
      </w:r>
      <w:r>
        <w:t xml:space="preserve">construire un intervalle de confiance pour</w:t>
      </w:r>
      <w:r>
        <w:t xml:space="preserve"> </w:t>
      </w:r>
      <m:oMath>
        <m:r>
          <m:t>μ</m:t>
        </m:r>
      </m:oMath>
      <w:r>
        <w:t xml:space="preserve">. Donner la loi approchée de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100</m:t>
            </m:r>
          </m:sub>
        </m:sSub>
      </m:oMath>
      <w:r>
        <w:t xml:space="preserve"> </w:t>
      </w:r>
      <w:r>
        <w:t xml:space="preserve">et préciser ses paramètres.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t xml:space="preserve">Construire un</w:t>
      </w:r>
      <w:r>
        <w:t xml:space="preserve"> </w:t>
      </w:r>
      <w:r>
        <w:rPr>
          <w:bCs/>
          <w:b/>
        </w:rPr>
        <w:t xml:space="preserve">intervalle de confiance à 95 %</w:t>
      </w:r>
      <w:r>
        <w:t xml:space="preserve"> </w:t>
      </w:r>
      <w:r>
        <w:t xml:space="preserve">pour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t xml:space="preserve">Construire un</w:t>
      </w:r>
      <w:r>
        <w:t xml:space="preserve"> </w:t>
      </w:r>
      <w:r>
        <w:rPr>
          <w:bCs/>
          <w:b/>
        </w:rPr>
        <w:t xml:space="preserve">intervalle de confiance à 99 %</w:t>
      </w:r>
      <w:r>
        <w:t xml:space="preserve"> </w:t>
      </w:r>
      <w:r>
        <w:t xml:space="preserve">pour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En conservant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ms comme estimation de</w:t>
      </w:r>
      <w:r>
        <w:t xml:space="preserve"> </w:t>
      </w:r>
      <m:oMath>
        <m:r>
          <m:t>σ</m:t>
        </m:r>
      </m:oMath>
      <w:r>
        <w:t xml:space="preserve">, quel</w:t>
      </w:r>
      <w:r>
        <w:t xml:space="preserve"> </w:t>
      </w:r>
      <w:r>
        <w:t xml:space="preserve">effectif minimal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faut-il pour que la demi-largeur de l’IC à 95 % soit</w:t>
      </w:r>
      <w:r>
        <w:t xml:space="preserve"> </w:t>
      </w:r>
      <w:r>
        <w:t xml:space="preserve">inférieure ou égale à</w:t>
      </w:r>
      <w:r>
        <w:t xml:space="preserve"> </w:t>
      </w:r>
      <w:r>
        <w:rPr>
          <w:bCs/>
          <w:b/>
        </w:rPr>
        <w:t xml:space="preserve">2 ms</w:t>
      </w:r>
      <w:r>
        <w:t xml:space="preserve"> </w:t>
      </w:r>
      <w:r>
        <w:t xml:space="preserve">?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— Statistiques et Probabilités</dc:title>
  <dc:creator/>
  <dc:language>fr</dc:language>
  <cp:keywords/>
  <dcterms:created xsi:type="dcterms:W3CDTF">2026-05-23T18:14:15Z</dcterms:created>
  <dcterms:modified xsi:type="dcterms:W3CDTF">2026-05-23T18:14:15Z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Durée : 1 h 15. Les documents de cours sont interdits. Une table de la loi normale \mathcal{N}(0,1) est fournie. Les calculatrices sont autorisées. Toute réponse doit être justifiée. Les résultats numériques seront arrondis à 10^{-3} près. Les valeurs suivantes sont fournies : z_{0{,}025} = 1{,}96 ; z_{0{,}005} = 2{,}58 ; \chi^2_{2\,;\,0{,}05} = 5{,}991.</vt:lpwstr>
  </property>
  <property fmtid="{D5CDD505-2E9C-101B-9397-08002B2CF9AE}" pid="3" name="biblio-config">
    <vt:lpwstr>True</vt:lpwstr>
  </property>
  <property fmtid="{D5CDD505-2E9C-101B-9397-08002B2CF9AE}" pid="4" name="comments">
    <vt:lpwstr/>
  </property>
  <property fmtid="{D5CDD505-2E9C-101B-9397-08002B2CF9AE}" pid="5" name="date-modified">
    <vt:lpwstr>2026-05-21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idebar">
    <vt:lpwstr>ece-proba</vt:lpwstr>
  </property>
  <property fmtid="{D5CDD505-2E9C-101B-9397-08002B2CF9AE}" pid="11" name="subtitle">
    <vt:lpwstr>Statistiques bivariées · Couples de v.a.r. continues · Inférence statistique</vt:lpwstr>
  </property>
  <property fmtid="{D5CDD505-2E9C-101B-9397-08002B2CF9AE}" pid="12" name="toc-title">
    <vt:lpwstr>Table des matières</vt:lpwstr>
  </property>
</Properties>
</file>