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Correction</w:t>
      </w:r>
      <w:r>
        <w:t xml:space="preserve"> </w:t>
      </w:r>
      <w:r>
        <w:t xml:space="preserve">—</w:t>
      </w:r>
      <w:r>
        <w:t xml:space="preserve"> </w:t>
      </w:r>
      <w:r>
        <w:t xml:space="preserve">Révision</w:t>
      </w:r>
      <w:r>
        <w:t xml:space="preserve"> </w:t>
      </w:r>
      <w:r>
        <w:t xml:space="preserve">Examen</w:t>
      </w:r>
      <w:r>
        <w:t xml:space="preserve"> </w:t>
      </w:r>
      <w:r>
        <w:t xml:space="preserve">Final</w:t>
      </w:r>
      <w:r>
        <w:t xml:space="preserve"> </w:t>
      </w:r>
      <w:r>
        <w:t xml:space="preserve">·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Statistiques</w:t>
      </w:r>
      <w:r>
        <w:t xml:space="preserve"> </w:t>
      </w:r>
      <w:r>
        <w:t xml:space="preserve">bivariées</w:t>
      </w:r>
      <w:r>
        <w:t xml:space="preserve"> </w:t>
      </w:r>
      <w:r>
        <w:t xml:space="preserve">·</w:t>
      </w:r>
      <w:r>
        <w:t xml:space="preserve"> </w:t>
      </w:r>
      <w:r>
        <w:t xml:space="preserve">Couples</w:t>
      </w:r>
      <w:r>
        <w:t xml:space="preserve"> </w:t>
      </w:r>
      <w:r>
        <w:t xml:space="preserve">de</w:t>
      </w:r>
      <w:r>
        <w:t xml:space="preserve"> </w:t>
      </w:r>
      <w:r>
        <w:t xml:space="preserve">v.a.r.</w:t>
      </w:r>
      <w:r>
        <w:t xml:space="preserve"> </w:t>
      </w:r>
      <w:r>
        <w:t xml:space="preserve">continues</w:t>
      </w:r>
      <w:r>
        <w:t xml:space="preserve"> </w:t>
      </w:r>
      <w:r>
        <w:t xml:space="preserve">·</w:t>
      </w:r>
      <w:r>
        <w:t xml:space="preserve"> </w:t>
      </w:r>
      <w:r>
        <w:t xml:space="preserve">Convergence</w:t>
      </w:r>
      <w:r>
        <w:t xml:space="preserve"> </w:t>
      </w:r>
      <w:r>
        <w:t xml:space="preserve">et</w:t>
      </w:r>
      <w:r>
        <w:t xml:space="preserve"> </w:t>
      </w:r>
      <w:r>
        <w:t xml:space="preserve">estimation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Corrigé</w:t>
      </w:r>
      <w:r>
        <w:t xml:space="preserve"> </w:t>
      </w:r>
      <w:r>
        <w:t xml:space="preserve">détaillé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hyperlink r:id="rId20">
        <w:r>
          <w:rPr>
            <w:rStyle w:val="Hyperlink"/>
          </w:rPr>
          <w:t xml:space="preserve">fiche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révision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examen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final</w:t>
        </w:r>
      </w:hyperlink>
      <w:r>
        <w:t xml:space="preserve">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30 pts · Exercice 2 — 40 pts · Exercice 3 — 30 pts</w:t>
      </w:r>
    </w:p>
    <w:p>
      <w:r>
        <w:pict>
          <v:rect style="width:0;height:1.5pt" o:hralign="center" o:hrstd="t" o:hr="t"/>
        </w:pict>
      </w:r>
    </w:p>
    <w:bookmarkStart w:id="23" w:name="X9125593934c39a44eb6fe50c974aaaf0f4206cf"/>
    <w:p>
      <w:pPr>
        <w:pStyle w:val="Heading2"/>
      </w:pPr>
      <w:r>
        <w:t xml:space="preserve">Exercice 1 — Statistiques bivariées (30 points)</w:t>
      </w:r>
    </w:p>
    <w:bookmarkStart w:id="21" w:name="Xad3fc7300a98d60707e7cfdc4cf2da5a13e0a18"/>
    <w:p>
      <w:pPr>
        <w:pStyle w:val="Heading3"/>
      </w:pPr>
      <w:r>
        <w:t xml:space="preserve">Partie A — Tableau de contingence et test du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(16 points)</w:t>
      </w:r>
    </w:p>
    <w:p>
      <w:pPr>
        <w:pStyle w:val="FirstParagraph"/>
      </w:pPr>
      <w:r>
        <w:t xml:space="preserve">Le tableau des effectifs observés est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Insatisfait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Satisfait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Cadre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Non-cadre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Fréquences marginales et distribution conditionnelle.</w:t>
      </w:r>
    </w:p>
    <w:p>
      <w:pPr>
        <w:pStyle w:val="BodyText"/>
      </w:pPr>
      <w:r>
        <w:rPr>
          <w:iCs/>
          <w:i/>
        </w:rPr>
        <w:t xml:space="preserve">Fréquences marginales de la variable Statut 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50</m:t>
          </m:r>
          <m:r>
            <m:t> 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de Cadres</m:t>
          </m:r>
          <m:r>
            <m:t>  </m:t>
          </m:r>
          <m:r>
            <m:rPr>
              <m:nor/>
              <m:sty m:val="p"/>
            </m:rPr>
            <m:t>et</m:t>
          </m:r>
          <m:r>
            <m:t>  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50</m:t>
          </m:r>
          <m:r>
            <m:t> 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de Non-cadres.</m:t>
          </m:r>
        </m:oMath>
      </m:oMathPara>
    </w:p>
    <w:p>
      <w:pPr>
        <w:pStyle w:val="FirstParagraph"/>
      </w:pPr>
      <w:r>
        <w:rPr>
          <w:iCs/>
          <w:i/>
        </w:rPr>
        <w:t xml:space="preserve">Fréquences marginales de la variable Satisfaction 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20</m:t>
          </m:r>
          <m:r>
            <m:t> 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Insatisfaits,</m:t>
          </m:r>
          <m:r>
            <m:t>  </m:t>
          </m:r>
          <m:f>
            <m:fPr>
              <m:type m:val="bar"/>
            </m:fPr>
            <m:num>
              <m:r>
                <m:t>80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40</m:t>
          </m:r>
          <m:r>
            <m:t> 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Neutres,</m:t>
          </m:r>
          <m:r>
            <m:t>  </m:t>
          </m:r>
          <m:f>
            <m:fPr>
              <m:type m:val="bar"/>
            </m:fPr>
            <m:num>
              <m:r>
                <m:t>80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40</m:t>
          </m:r>
          <m:r>
            <m:t> 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Satisfaits.</m:t>
          </m:r>
        </m:oMath>
      </m:oMathPara>
    </w:p>
    <w:p>
      <w:pPr>
        <w:pStyle w:val="FirstParagraph"/>
      </w:pPr>
      <w:r>
        <w:rPr>
          <w:iCs/>
          <w:i/>
        </w:rPr>
        <w:t xml:space="preserve">Distribution conditionnelle du niveau de satisfaction pour les Non-cadres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Insatisfait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22</m:t>
          </m:r>
          <m:r>
            <m:t> 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Neutre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48</m:t>
          </m:r>
          <m:r>
            <m:t> 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Satisfait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30</m:t>
          </m:r>
          <m:r>
            <m:t> 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Interprétation :</w:t>
      </w:r>
      <w:r>
        <w:t xml:space="preserve"> </w:t>
      </w:r>
      <w:r>
        <w:t xml:space="preserve">parmi les Non-cadres, près de la moitié est neutre et seulement 30 % se déclare satisfaite. On peut comparer avec les Cadres 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Satisfait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Cadre</m:t>
            </m:r>
          </m:e>
        </m:d>
        <m:r>
          <m:rPr>
            <m:sty m:val="p"/>
          </m:rPr>
          <m:t>=</m:t>
        </m:r>
        <m:r>
          <m:t>50</m:t>
        </m:r>
        <m:r>
          <m:t> </m:t>
        </m:r>
        <m:r>
          <m:rPr>
            <m:sty m:val="p"/>
          </m:rPr>
          <m:t>%</m:t>
        </m:r>
      </m:oMath>
      <w:r>
        <w:t xml:space="preserve">, ce qui suggère un lien entre le statut et la satisfaction.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Probabilités conditionnelles et totales.</w:t>
      </w:r>
    </w:p>
    <w:p>
      <w:pPr>
        <w:numPr>
          <w:ilvl w:val="0"/>
          <w:numId w:val="1001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Insatisfait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Cadre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borderBox>
          <m:e>
            <m:r>
              <m:t>0</m:t>
            </m:r>
            <m:r>
              <m:rPr>
                <m:sty m:val="p"/>
              </m:rPr>
              <m:t>,</m:t>
            </m:r>
            <m:r>
              <m:t>18</m:t>
            </m:r>
            <m:r>
              <m:rPr>
                <m:sty m:val="p"/>
              </m:rPr>
              <m:t>.</m:t>
            </m:r>
          </m:e>
        </m:borderBox>
      </m:oMath>
    </w:p>
    <w:p>
      <w:pPr>
        <w:numPr>
          <w:ilvl w:val="0"/>
          <w:numId w:val="1001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Satisfait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80</m:t>
            </m:r>
          </m:num>
          <m:den>
            <m:r>
              <m:t>200</m:t>
            </m:r>
          </m:den>
        </m:f>
        <m:r>
          <m:rPr>
            <m:sty m:val="p"/>
          </m:rPr>
          <m:t>=</m:t>
        </m:r>
        <m:borderBox>
          <m:e>
            <m:r>
              <m:t>0</m:t>
            </m:r>
            <m:r>
              <m:rPr>
                <m:sty m:val="p"/>
              </m:rPr>
              <m:t>,</m:t>
            </m:r>
            <m:r>
              <m:t>40</m:t>
            </m:r>
            <m:r>
              <m:rPr>
                <m:sty m:val="p"/>
              </m:rPr>
              <m:t>.</m:t>
            </m:r>
          </m:e>
        </m:borderBox>
      </m:oMath>
    </w:p>
    <w:p>
      <w:pPr>
        <w:numPr>
          <w:ilvl w:val="0"/>
          <w:numId w:val="1001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Cadre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Neutre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80</m:t>
            </m:r>
          </m:den>
        </m:f>
        <m:r>
          <m:rPr>
            <m:sty m:val="p"/>
          </m:rPr>
          <m:t>=</m:t>
        </m:r>
        <m:borderBox>
          <m:e>
            <m:r>
              <m:t>0</m:t>
            </m:r>
            <m:r>
              <m:rPr>
                <m:sty m:val="p"/>
              </m:rPr>
              <m:t>,</m:t>
            </m:r>
            <m:r>
              <m:t>40</m:t>
            </m:r>
            <m:r>
              <m:rPr>
                <m:sty m:val="p"/>
              </m:rPr>
              <m:t>.</m:t>
            </m:r>
          </m:e>
        </m:borderBox>
      </m:oMath>
      <w:r>
        <w:t xml:space="preserve"> </w:t>
      </w:r>
      <w:r>
        <w:rPr>
          <w:iCs/>
          <w:i/>
        </w:rPr>
        <w:t xml:space="preserve">(Par la formule de Bayes :</w:t>
      </w:r>
      <w:r>
        <w:rPr>
          <w:iCs/>
          <w:i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Cadre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Neutre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Cadre et Neutre</m:t>
                </m:r>
              </m:e>
            </m:d>
          </m:num>
          <m:den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Neutre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  <m:r>
              <m:rPr>
                <m:sty m:val="p"/>
              </m:rPr>
              <m:t>/</m:t>
            </m:r>
            <m:r>
              <m:t>200</m:t>
            </m:r>
          </m:num>
          <m:den>
            <m:r>
              <m:t>80</m:t>
            </m:r>
            <m:r>
              <m:rPr>
                <m:sty m:val="p"/>
              </m:rPr>
              <m:t>/</m:t>
            </m:r>
            <m:r>
              <m:t>200</m:t>
            </m:r>
          </m:den>
        </m:f>
      </m:oMath>
      <w:r>
        <w:rPr>
          <w:iCs/>
          <w:i/>
        </w:rP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Effectifs théoriques sous l’hypothèse d’indépendance.</w:t>
      </w:r>
    </w:p>
    <w:p>
      <w:pPr>
        <w:pStyle w:val="BodyText"/>
      </w:pPr>
      <w:r>
        <w:t xml:space="preserve">Sous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(indépendance), l’effectif théorique de la case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est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•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•</m:t>
                  </m:r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Insatisfait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Satisfait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Cadre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40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80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40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80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40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Non-cadre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40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80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40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80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=</m:t>
              </m:r>
              <m:r>
                <m:t>40</m:t>
              </m:r>
            </m:oMath>
          </w:p>
        </w:tc>
      </w:tr>
    </w:tbl>
    <w:p>
      <w:pPr>
        <w:pStyle w:val="BodyText"/>
      </w:pPr>
      <w:r>
        <w:t xml:space="preserve">Tous les effectifs théoriques sont</w:t>
      </w:r>
      <w:r>
        <w:t xml:space="preserve"> </w:t>
      </w:r>
      <w:r>
        <w:rPr>
          <w:bCs/>
          <w:b/>
        </w:rPr>
        <w:t xml:space="preserve">égaux à 20 ou 40</w:t>
      </w:r>
      <w:r>
        <w:t xml:space="preserve">, donc strictement supérieurs à 5.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iCs/>
          <w:i/>
        </w:rPr>
        <w:t xml:space="preserve">Vérification :</w:t>
      </w:r>
      <w:r>
        <w:t xml:space="preserve"> </w:t>
      </w:r>
      <w:r>
        <w:t xml:space="preserve">la somme des effectifs théoriques par ligne vaut</w:t>
      </w:r>
      <w:r>
        <w:t xml:space="preserve"> </w:t>
      </w:r>
      <m:oMath>
        <m:r>
          <m:t>20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et le total général vaut</w:t>
      </w:r>
      <w:r>
        <w:t xml:space="preserve"> </w:t>
      </w:r>
      <m:oMath>
        <m:r>
          <m:t>200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Calcul de la statistique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et conclusion.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r>
        <w:t xml:space="preserve">On calcule chaque terme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o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Cadre – Insatisfait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Cadre – Neutre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64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Cadre – Satisfait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Non-cadre – Insatisfait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Non-cadre – Neutre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64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Non-cadre – Satisfait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500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Le nombre de degrés de liberté est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Le seuil critique à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est</w:t>
      </w:r>
      <w:r>
        <w:t xml:space="preserve"> </w:t>
      </w:r>
      <m:oMath>
        <m:sSubSup>
          <m:e>
            <m:r>
              <m:t>χ</m:t>
            </m:r>
          </m:e>
          <m:sub>
            <m:r>
              <m:t>2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991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&gt;</m:t>
          </m:r>
          <m:r>
            <m:t>5</m:t>
          </m:r>
          <m:r>
            <m:rPr>
              <m:sty m:val="p"/>
            </m:rPr>
            <m:t>,</m:t>
          </m:r>
          <m:r>
            <m:t>991</m:t>
          </m:r>
          <m:r>
            <m:rPr>
              <m:sty m:val="p"/>
            </m:rPr>
            <m:t>=</m:t>
          </m:r>
          <m:sSubSup>
            <m:e>
              <m:r>
                <m:t>χ</m:t>
              </m:r>
            </m:e>
            <m:sub>
              <m:r>
                <m:t>2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Conclusion :</w:t>
      </w:r>
      <w:r>
        <w:t xml:space="preserve"> </w:t>
      </w:r>
      <w:r>
        <w:t xml:space="preserve">on rejette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au seuil 5 %. Le lien entre le statut et le niveau de satisfaction est</w:t>
      </w:r>
      <w:r>
        <w:t xml:space="preserve"> </w:t>
      </w:r>
      <w:r>
        <w:rPr>
          <w:bCs/>
          <w:b/>
        </w:rPr>
        <w:t xml:space="preserve">statistiquement significatif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Interprétation et case la plus contributrice.</w:t>
      </w:r>
    </w:p>
    <w:p>
      <w:pPr>
        <w:pStyle w:val="BodyText"/>
      </w:pPr>
      <w:r>
        <w:t xml:space="preserve">Le rejet de l’indépendance indique que la satisfaction dépend du statut : les Cadres sont proportionnellement plus satisfaits (50 %) et les Non-cadres plus souvent neutres (48 %).</w:t>
      </w:r>
    </w:p>
    <w:p>
      <w:pPr>
        <w:pStyle w:val="BodyText"/>
      </w:pPr>
      <w:r>
        <w:t xml:space="preserve">Les cases</w:t>
      </w:r>
      <w:r>
        <w:t xml:space="preserve"> </w:t>
      </w:r>
      <w:r>
        <w:rPr>
          <w:bCs/>
          <w:b/>
        </w:rPr>
        <w:t xml:space="preserve">Cadre – Satisfait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Non-cadre – Satisfait</w:t>
      </w:r>
      <w:r>
        <w:t xml:space="preserve"> </w:t>
      </w:r>
      <w:r>
        <w:t xml:space="preserve">contribuent le plus à</w:t>
      </w:r>
      <w:r>
        <w:t xml:space="preserve"> </w:t>
      </w:r>
      <m:oMath>
        <m:r>
          <m:t>T</m:t>
        </m:r>
      </m:oMath>
      <w:r>
        <w:t xml:space="preserve">, avec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chacune. Elles montrent que les cadres sont surreprésentés parmi les satisfaits (</w:t>
      </w:r>
      <m:oMath>
        <m:r>
          <m:t>o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&gt;</m:t>
        </m:r>
        <m:r>
          <m:t>e</m:t>
        </m:r>
        <m:r>
          <m:rPr>
            <m:sty m:val="p"/>
          </m:rPr>
          <m:t>=</m:t>
        </m:r>
        <m:r>
          <m:t>40</m:t>
        </m:r>
      </m:oMath>
      <w:r>
        <w:t xml:space="preserve">) et les non-cadres sous-représentés (</w:t>
      </w:r>
      <m:oMath>
        <m:r>
          <m:t>o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=</m:t>
        </m:r>
        <m:r>
          <m:t>40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partie-b-droite-de-régression-14-points"/>
    <w:p>
      <w:pPr>
        <w:pStyle w:val="Heading3"/>
      </w:pPr>
      <w:r>
        <w:t xml:space="preserve">Partie B — Droite de régression (14 points)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Actif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Calcul de</w:t>
      </w:r>
      <w:r>
        <w:rPr>
          <w:bCs/>
          <w:b/>
        </w:rP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3</m:t>
              </m:r>
              <m:r>
                <m:rPr>
                  <m:sty m:val="p"/>
                </m:rPr>
                <m:t>,</m:t>
              </m:r>
            </m:e>
          </m:borderBox>
          <m:r>
            <m:t>  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55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=</m:t>
          </m:r>
          <m:r>
            <m:t>55</m:t>
          </m:r>
          <m:r>
            <m:rPr>
              <m:sty m:val="p"/>
            </m:rPr>
            <m:t>−</m:t>
          </m:r>
          <m:r>
            <m:t>45</m:t>
          </m:r>
          <m:r>
            <m:rPr>
              <m:sty m:val="p"/>
            </m:rPr>
            <m:t>=</m:t>
          </m:r>
          <m:borderBox>
            <m:e>
              <m:r>
                <m:t>10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112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112</m:t>
          </m:r>
          <m:r>
            <m:rPr>
              <m:sty m:val="p"/>
            </m:rPr>
            <m:t>−</m:t>
          </m:r>
          <m:r>
            <m:t>90</m:t>
          </m:r>
          <m:r>
            <m:rPr>
              <m:sty m:val="p"/>
            </m:rPr>
            <m:t>=</m:t>
          </m:r>
          <m:borderBox>
            <m:e>
              <m:r>
                <m:t>22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230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×</m:t>
          </m:r>
          <m:r>
            <m:t>36</m:t>
          </m:r>
          <m:r>
            <m:rPr>
              <m:sty m:val="p"/>
            </m:rPr>
            <m:t>=</m:t>
          </m:r>
          <m:r>
            <m:t>230</m:t>
          </m:r>
          <m:r>
            <m:rPr>
              <m:sty m:val="p"/>
            </m:rPr>
            <m:t>−</m:t>
          </m:r>
          <m:r>
            <m:t>180</m:t>
          </m:r>
          <m:r>
            <m:rPr>
              <m:sty m:val="p"/>
            </m:rPr>
            <m:t>=</m:t>
          </m:r>
          <m:borderBox>
            <m:e>
              <m:r>
                <m:t>50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Coefficients de la droite de régression.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b</m:t>
              </m:r>
            </m:e>
          </m:acc>
          <m:r>
            <m:t> 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=</m:t>
          </m:r>
          <m:borderBox>
            <m:e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Équation de la droite de régression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Lecture :</w:t>
      </w:r>
      <w:r>
        <w:t xml:space="preserve"> </w:t>
      </w:r>
      <w:r>
        <w:t xml:space="preserve">pour chaque point de volatilité supplémentaire, le rendement prédit augmente en moyenne de 2,2 points de pourcentage.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Coefficient de corrélation et coefficient de détermination.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50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500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10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22</m:t>
              </m:r>
              <m:r>
                <m:rPr>
                  <m:sty m:val="p"/>
                </m:rPr>
                <m:t>,</m:t>
              </m:r>
              <m:r>
                <m:t>361</m:t>
              </m:r>
            </m:den>
          </m:f>
          <m:r>
            <m:rPr>
              <m:sty m:val="p"/>
            </m:rPr>
            <m:t>≈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984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968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Commentaire :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984</m:t>
        </m:r>
      </m:oMath>
      <w:r>
        <w:t xml:space="preserve"> </w:t>
      </w:r>
      <w:r>
        <w:t xml:space="preserve">est très proche de 1, ce qui indique une</w:t>
      </w:r>
      <w:r>
        <w:t xml:space="preserve"> </w:t>
      </w:r>
      <w:r>
        <w:rPr>
          <w:bCs/>
          <w:b/>
        </w:rPr>
        <w:t xml:space="preserve">liaison linéaire quasi-parfaite</w:t>
      </w:r>
      <w:r>
        <w:t xml:space="preserve"> </w:t>
      </w:r>
      <w:r>
        <w:t xml:space="preserve">entre la volatilité et le rendement. Le coefficient de détermination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96</m:t>
        </m:r>
        <m:r>
          <m:rPr>
            <m:sty m:val="p"/>
          </m:rPr>
          <m:t>,</m:t>
        </m:r>
        <m:r>
          <m:t>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signifie que la droite de régression explique 96,8 % de la variabilité totale du rendement.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Prédiction pour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et discussion.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+</m:t>
          </m:r>
          <m:r>
            <m:t>13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=</m:t>
          </m:r>
          <m:borderBox>
            <m:e>
              <m:r>
                <m:t>12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t> 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Discussion 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hors de l’intervalle d’observation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5</m:t>
            </m:r>
          </m:e>
        </m:d>
      </m:oMath>
      <w:r>
        <w:t xml:space="preserve"> </w:t>
      </w:r>
      <w:r>
        <w:t xml:space="preserve">: il s’agit d’une</w:t>
      </w:r>
      <w:r>
        <w:t xml:space="preserve"> </w:t>
      </w:r>
      <w:r>
        <w:rPr>
          <w:bCs/>
          <w:b/>
        </w:rPr>
        <w:t xml:space="preserve">extrapolation</w:t>
      </w:r>
      <w:r>
        <w:t xml:space="preserve">. La relation linéaire, bien que très bonne sur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5</m:t>
            </m:r>
          </m:e>
        </m:d>
      </m:oMath>
      <w:r>
        <w:t xml:space="preserve">, n’est pas garantie au-delà. La prédiction doit donc être interprétée avec précaution.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dffbcb4d3f6bf9eb53f7d670741fcacce27ec23"/>
    <w:p>
      <w:pPr>
        <w:pStyle w:val="Heading2"/>
      </w:pPr>
      <w:r>
        <w:t xml:space="preserve">Exercice 2 — Couple de variables aléatoires continues (40 points)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 domaine d’intégration est le triangle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Vérification de la normalisation.</w:t>
      </w:r>
    </w:p>
    <w:p>
      <w:pPr>
        <w:pStyle w:val="BodyText"/>
      </w:pPr>
      <w:r>
        <w:t xml:space="preserve">On intègre d’abord sur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(pour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fixé,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varie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x</m:t>
        </m:r>
      </m:oMath>
      <w:r>
        <w:t xml:space="preserve">) puis sur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:</w:t>
      </w:r>
    </w:p>
    <w:p>
      <w:pPr>
        <w:pStyle w:val="BodyText"/>
      </w:pPr>
      <w:r>
        <w:t xml:space="preserve">$$\iint_{\mathbb{R}^2} f(x,y)\,dx\,dy
  = \int_0^1 \int_0^x 2\,dy\,dx
  = \int_0^1 2x\,dx
  = \Bigl[x^2\Bigr]_0^1
  = \boxed{1.} \checkmark$$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rPr>
          <w:bCs/>
          <w:b/>
        </w:rPr>
        <w:t xml:space="preserve">Densités marginales</w:t>
      </w:r>
      <w:r>
        <w:rPr>
          <w:bCs/>
          <w:b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w:r>
        <w:rPr>
          <w:iCs/>
          <w:i/>
        </w:rPr>
        <w:t xml:space="preserve">Densité marginale de</w:t>
      </w:r>
      <w:r>
        <w:rPr>
          <w:iCs/>
          <w:i/>
        </w:rPr>
        <w:t xml:space="preserve"> </w:t>
      </w:r>
      <m:oMath>
        <m:r>
          <m:t>X</m:t>
        </m:r>
      </m:oMath>
      <w:r>
        <w:rPr>
          <w:iCs/>
          <w:i/>
        </w:rPr>
        <w:t xml:space="preserve">.</w:t>
      </w:r>
      <w:r>
        <w:t xml:space="preserve"> </w:t>
      </w: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varie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Vérification 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x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sinon.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Densité marginale de</w:t>
      </w:r>
      <w:r>
        <w:rPr>
          <w:iCs/>
          <w:i/>
        </w:rPr>
        <w:t xml:space="preserve"> </w:t>
      </w:r>
      <m:oMath>
        <m:r>
          <m:t>Y</m:t>
        </m:r>
      </m:oMath>
      <w:r>
        <w:rPr>
          <w:iCs/>
          <w:i/>
        </w:rPr>
        <w:t xml:space="preserve">.</w:t>
      </w:r>
      <w:r>
        <w:t xml:space="preserve"> </w:t>
      </w:r>
      <w:r>
        <w:t xml:space="preserve">Pour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varie 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r>
                <m:t>2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Vérification :</w:t>
      </w:r>
      <w:r>
        <w:t xml:space="preserve"> </w:t>
      </w:r>
      <w:r>
        <w:t xml:space="preserve">$\displaystyle\int_0^1 2(1-y)\,dy = 2\Bigl[y - \frac{y^2}{2}\Bigr]_0^1 = 2\!\left(1 - \frac{1}{2}\right) = 1.$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y</m:t>
                            </m:r>
                          </m:e>
                        </m:d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sinon.</m:t>
                        </m:r>
                      </m:e>
                    </m:mr>
                  </m:m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m:oMath>
        <m:r>
          <m:t>X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t>Y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ne sont pas indépendantes.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étaient indépendantes, on aurait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en tout point. Or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⋅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Prenons par exemple le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</w:t>
      </w:r>
      <w:r>
        <w:t xml:space="preserve"> </w:t>
      </w:r>
      <w:r>
        <w:t xml:space="preserve">Comme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ce point est</w:t>
      </w:r>
      <w:r>
        <w:t xml:space="preserve"> </w:t>
      </w:r>
      <w:r>
        <w:rPr>
          <w:bCs/>
          <w:b/>
        </w:rPr>
        <w:t xml:space="preserve">hors du domaine</w:t>
      </w:r>
      <w:r>
        <w:t xml:space="preserve"> </w:t>
      </w:r>
      <m:oMath>
        <m:r>
          <m:t>D</m:t>
        </m:r>
      </m:oMath>
      <w:r>
        <w:t xml:space="preserve">, donc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En revanche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 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conclut que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en ce point, donc</w:t>
      </w:r>
      <w:r>
        <w:t xml:space="preserve"> </w:t>
      </w:r>
      <m:oMath>
        <m:r>
          <m:t>X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t>Y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ne sont pas indépendantes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rPr>
          <w:bCs/>
          <w:b/>
        </w:rPr>
        <w:t xml:space="preserve">Espérances et variances de</w:t>
      </w:r>
      <w:r>
        <w:rPr>
          <w:bCs/>
          <w:b/>
        </w:rPr>
        <w:t xml:space="preserve"> </w:t>
      </w:r>
      <m:oMath>
        <m:r>
          <m:t>X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t>Y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rPr>
          <w:iCs/>
          <w:i/>
        </w:rPr>
        <w:t xml:space="preserve">Calculs pour</w:t>
      </w:r>
      <w:r>
        <w:rPr>
          <w:iCs/>
          <w:i/>
        </w:rPr>
        <w:t xml:space="preserve"> </w:t>
      </w:r>
      <m:oMath>
        <m:r>
          <m:t>X</m:t>
        </m:r>
      </m:oMath>
      <w:r>
        <w:rPr>
          <w:iCs/>
          <w:i/>
        </w:rPr>
        <w:t xml:space="preserve">, en utilisant</w:t>
      </w:r>
      <w:r>
        <w:rPr>
          <w:iCs/>
          <w:i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sur</w:t>
      </w:r>
      <w:r>
        <w:rPr>
          <w:iCs/>
          <w:i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t>2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t>2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Calculs pour</w:t>
      </w:r>
      <w:r>
        <w:rPr>
          <w:iCs/>
          <w:i/>
        </w:rPr>
        <w:t xml:space="preserve"> </w:t>
      </w:r>
      <m:oMath>
        <m:r>
          <m:t>Y</m:t>
        </m:r>
      </m:oMath>
      <w:r>
        <w:rPr>
          <w:iCs/>
          <w:i/>
        </w:rPr>
        <w:t xml:space="preserve">, en utilisant</w:t>
      </w:r>
      <w:r>
        <w:rPr>
          <w:iCs/>
          <w:i/>
        </w:rP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sur</w:t>
      </w:r>
      <w:r>
        <w:rPr>
          <w:iCs/>
          <w:i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Y</m:t>
              </m:r>
            </m:e>
          </m: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Remarque :</w:t>
      </w:r>
      <w:r>
        <w:t xml:space="preserve"> </w:t>
      </w:r>
      <w:r>
        <w:t xml:space="preserve">les deux variances sont égales,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18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(7 pts)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t>Y</m:t>
            </m:r>
          </m:e>
        </m:d>
      </m:oMath>
      <w:r>
        <w:rPr>
          <w:bCs/>
          <w:b/>
        </w:rPr>
        <w:t xml:space="preserve">, covariance et coefficient de corrélation.</w:t>
      </w:r>
    </w:p>
    <w:p>
      <w:pPr>
        <w:pStyle w:val="BodyText"/>
      </w:pPr>
      <w:r>
        <w:t xml:space="preserve">On calcule directement sur le domaine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t>y</m:t>
          </m:r>
          <m:r>
            <m:rPr>
              <m:sty m:val="p"/>
            </m:rPr>
            <m:t>⋅</m:t>
          </m:r>
          <m:r>
            <m:t>2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</m:e>
          </m:nary>
          <m:r>
            <m:t>x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2</m:t>
              </m:r>
            </m:e>
          </m:nary>
          <m:r>
            <m:t>x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2</m:t>
              </m:r>
            </m:e>
          </m:nary>
          <m:r>
            <m:t>x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−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18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18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36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Interprétation :</w:t>
      </w:r>
      <w:r>
        <w:t xml:space="preserve"> </w:t>
      </w:r>
      <w:r>
        <w:t xml:space="preserve">le coefficient de corrélation est</w:t>
      </w:r>
      <w:r>
        <w:t xml:space="preserve"> </w:t>
      </w:r>
      <w:r>
        <w:rPr>
          <w:bCs/>
          <w:b/>
        </w:rPr>
        <w:t xml:space="preserve">positif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) 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évoluent dans le même sens. La valeur modérée s’explique par la contrainte géométrique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est toujours plus petite que</w:t>
      </w:r>
      <w:r>
        <w:t xml:space="preserve"> </w:t>
      </w:r>
      <m:oMath>
        <m:r>
          <m:t>X</m:t>
        </m:r>
      </m:oMath>
      <w:r>
        <w:t xml:space="preserve">, mais pas parfaitement proportionnelle.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rPr>
          <w:bCs/>
          <w:b/>
        </w:rPr>
        <w:t xml:space="preserve">Densité conditionnelle</w:t>
      </w:r>
      <w:r>
        <w:rPr>
          <w:bCs/>
          <w:b/>
        </w:rP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Par définition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sinon.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Identification :</w:t>
      </w:r>
      <w:r>
        <w:t xml:space="preserve"> </w:t>
      </w:r>
      <w:r>
        <w:t xml:space="preserve">il s’agit de la</w:t>
      </w:r>
      <w:r>
        <w:t xml:space="preserve"> </w:t>
      </w:r>
      <w:r>
        <w:rPr>
          <w:bCs/>
          <w:b/>
        </w:rPr>
        <w:t xml:space="preserve">loi uniforme</w:t>
      </w:r>
      <w:r>
        <w:t xml:space="preserve"> </w:t>
      </w:r>
      <m:oMath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</m:e>
            </m:d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Vérification 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 </w:t>
      </w:r>
      <m:oMath>
        <m:r>
          <m:rPr>
            <m:sty m:val="p"/>
          </m:rPr>
          <m:t>✓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Calcul de</w:t>
      </w:r>
      <w:r>
        <w:rPr>
          <w:bCs/>
          <w:b/>
        </w:rP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On conditionne par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 on utilise la loi totale des probabilités. Sachant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on a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</m:e>
            </m:d>
          </m:e>
        </m:d>
      </m:oMath>
      <w:r>
        <w:t xml:space="preserve">, donc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|"/>
              <m:grow/>
            </m:dPr>
            <m:e>
              <m:r>
                <m:t>Y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</m:e>
            <m:e>
              <m:r>
                <m:t> 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Ce résultat est</w:t>
      </w:r>
      <w:r>
        <w:t xml:space="preserve"> </w:t>
      </w:r>
      <w:r>
        <w:rPr>
          <w:bCs/>
          <w:b/>
        </w:rPr>
        <w:t xml:space="preserve">indépendant de</w:t>
      </w:r>
      <w:r>
        <w:rPr>
          <w:bCs/>
          <w:b/>
        </w:rPr>
        <w:t xml:space="preserve"> </w:t>
      </w:r>
      <m:oMath>
        <m:r>
          <m:t>x</m:t>
        </m:r>
      </m:oMath>
      <w:r>
        <w:t xml:space="preserve">. Par conséquent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P</m:t>
              </m:r>
            </m:e>
          </m:nary>
          <m:r>
            <m:t>​</m:t>
          </m:r>
          <m:d>
            <m:dPr>
              <m:begChr m:val="("/>
              <m:endChr m:val=")"/>
              <m:sepChr m:val="|"/>
              <m:grow/>
            </m:dPr>
            <m:e>
              <m:r>
                <m:t>Y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</m:e>
            <m:e>
              <m:r>
                <m:t> 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×</m:t>
          </m:r>
          <m:r>
            <m:t>2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Interprétation :</w:t>
      </w:r>
      <w:r>
        <w:t xml:space="preserve"> </w:t>
      </w:r>
      <w:r>
        <w:t xml:space="preserve">sachant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est uniformément réparti sur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, donc la probabilité que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tombe dans la moitié inférieure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est toujours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quelle que soit la valeur de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&lt;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rPr>
          <w:iCs/>
          <w:i/>
        </w:rPr>
        <w:t xml:space="preserve">Première probabilité</w:t>
      </w:r>
      <w:r>
        <w:t xml:space="preserve"> </w:t>
      </w:r>
      <w:r>
        <w:t xml:space="preserve">à partir de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:</w:t>
      </w:r>
    </w:p>
    <w:p>
      <w:pPr>
        <w:pStyle w:val="BodyText"/>
      </w:pPr>
      <w:r>
        <w:t xml:space="preserve">$$P\!\left(X &gt; \frac{3}{4}\right)
  = \int_{3/4}^1 2x\,dx
  = \Bigl[x^2\Bigr]_{3/4}^1
  = 1 - \frac{9}{16}
  = \boxed{\frac{7}{16} = 0{,}4375.}$$</w:t>
      </w:r>
    </w:p>
    <w:p>
      <w:pPr>
        <w:pStyle w:val="FirstParagraph"/>
      </w:pPr>
      <w:r>
        <w:rPr>
          <w:iCs/>
          <w:i/>
        </w:rPr>
        <w:t xml:space="preserve">Deuxième probabilité</w:t>
      </w:r>
      <w:r>
        <w:t xml:space="preserve"> </w:t>
      </w:r>
      <w:r>
        <w:t xml:space="preserve">à l’aide de la densité conditionnelle.</w:t>
      </w:r>
    </w:p>
    <w:p>
      <w:pPr>
        <w:pStyle w:val="BodyText"/>
      </w:pPr>
      <w:r>
        <w:t xml:space="preserve">Sachant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, on a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  <m:scr m:val="script"/>
          </m:rPr>
          <m:t>U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</m:d>
      </m:oMath>
      <w:r>
        <w:t xml:space="preserve">. Donc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|"/>
              <m:grow/>
            </m:dPr>
            <m:e>
              <m:r>
                <m:t>Y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</m:e>
            <m:e>
              <m:r>
                <m:t> 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333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8" w:name="Xe83e29d819126e37c1dd9d62a5e9e10bc22334b"/>
    <w:p>
      <w:pPr>
        <w:pStyle w:val="Heading2"/>
      </w:pPr>
      <w:r>
        <w:t xml:space="preserve">Exercice 3 — Convergence et inférence statistique (30 points)</w:t>
      </w:r>
    </w:p>
    <w:bookmarkStart w:id="25" w:name="X8df7288c27619d8e40f0711027c6e27dbe300e6"/>
    <w:p>
      <w:pPr>
        <w:pStyle w:val="Heading3"/>
      </w:pPr>
      <w:r>
        <w:t xml:space="preserve">Partie A — Inégalités de concentration (8 points)</w:t>
      </w:r>
    </w:p>
    <w:p>
      <w:pPr>
        <w:pStyle w:val="FirstParagraph"/>
      </w:pPr>
      <m:oMath>
        <m:r>
          <m:t>X</m:t>
        </m:r>
      </m:oMath>
      <w:r>
        <w:t xml:space="preserve"> </w:t>
      </w:r>
      <w:r>
        <w:t xml:space="preserve">variable aléatoire positive,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9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Inégalité de Markov.</w:t>
      </w:r>
    </w:p>
    <w:p>
      <w:pPr>
        <w:pStyle w:val="BodyText"/>
      </w:pPr>
      <w:r>
        <w:t xml:space="preserve">L’</w:t>
      </w:r>
      <w:r>
        <w:rPr>
          <w:bCs/>
          <w:b/>
        </w:rPr>
        <w:t xml:space="preserve">inégalité de Markov</w:t>
      </w:r>
      <w:r>
        <w:t xml:space="preserve"> </w:t>
      </w:r>
      <w:r>
        <w:t xml:space="preserve">stipule que pour toute v.a. positive et tout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Application avec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18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333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Inégalité de Bienaymé-Tchebychev.</w:t>
      </w:r>
    </w:p>
    <w:p>
      <w:pPr>
        <w:pStyle w:val="BodyText"/>
      </w:pPr>
      <w:r>
        <w:t xml:space="preserve">L’</w:t>
      </w:r>
      <w:r>
        <w:rPr>
          <w:bCs/>
          <w:b/>
        </w:rPr>
        <w:t xml:space="preserve">inégalité de Bienaymé-Tchebychev</w:t>
      </w:r>
      <w:r>
        <w:t xml:space="preserve"> </w:t>
      </w:r>
      <w:r>
        <w:t xml:space="preserve">stipule que pour tout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  <m:scr m:val="double-struck"/>
                    </m:rPr>
                    <m:t>E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Application avec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On remarque que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&lt;</m:t>
        </m:r>
        <m:r>
          <m:t>6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12</m:t>
        </m:r>
      </m:oMath>
      <w:r>
        <w:t xml:space="preserve"> </w:t>
      </w:r>
      <w:r>
        <w:t xml:space="preserve">(la borne inférieure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est automatiquement satisfaite car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est positive). On en déduit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12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&lt;</m:t>
              </m:r>
              <m:r>
                <m:t>6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75</m:t>
              </m:r>
              <m:r>
                <m:t> 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Calcul exact sous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 </m:t>
            </m:r>
            <m:r>
              <m:t>9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On a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 On centre-réduit par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/</m:t>
        </m:r>
        <m:r>
          <m:t>3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12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Z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Z</m:t>
              </m:r>
              <m:r>
                <m:rPr>
                  <m:sty m:val="p"/>
                </m:rPr>
                <m:t>&lt;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9544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Commentaire :</w:t>
      </w:r>
      <w:r>
        <w:t xml:space="preserve"> </w:t>
      </w:r>
      <w:r>
        <w:t xml:space="preserve">la borne de Bienaymé-Tchebychev (</w:t>
      </w:r>
      <m:oMath>
        <m:r>
          <m:rPr>
            <m:sty m:val="p"/>
          </m:rPr>
          <m:t>≥</m:t>
        </m:r>
        <m:r>
          <m:t>75</m:t>
        </m:r>
        <m:r>
          <m:t> </m:t>
        </m:r>
        <m:r>
          <m:rPr>
            <m:sty m:val="p"/>
          </m:rPr>
          <m:t>%</m:t>
        </m:r>
      </m:oMath>
      <w:r>
        <w:t xml:space="preserve">) est</w:t>
      </w:r>
      <w:r>
        <w:t xml:space="preserve"> </w:t>
      </w:r>
      <w:r>
        <w:rPr>
          <w:bCs/>
          <w:b/>
        </w:rPr>
        <w:t xml:space="preserve">très conservative</w:t>
      </w:r>
      <w:r>
        <w:t xml:space="preserve"> </w:t>
      </w:r>
      <w:r>
        <w:t xml:space="preserve">: la vraie valeur est 95,44 %, soit bien plus élevée. Cela illustre que l’inégalité de B-T est valable pour toutes les distributions à variance finie, mais elle est peu précise pour les distributions concentrées comme la loi normale.</w:t>
      </w:r>
    </w:p>
    <w:p>
      <w:r>
        <w:pict>
          <v:rect style="width:0;height:1.5pt" o:hralign="center" o:hrstd="t" o:hr="t"/>
        </w:pict>
      </w:r>
    </w:p>
    <w:bookmarkEnd w:id="25"/>
    <w:bookmarkStart w:id="26" w:name="X989dba4272208f51f09d97ff639d3c2536b639d"/>
    <w:p>
      <w:pPr>
        <w:pStyle w:val="Heading3"/>
      </w:pPr>
      <w:r>
        <w:t xml:space="preserve">Partie B — Maximum de vraisemblance (10 points)</w:t>
      </w:r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i.i.d. de loi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λ</m:t>
            </m:r>
          </m:e>
        </m:d>
        <m:r>
          <m:rPr>
            <m:sty m:val="p"/>
          </m:rPr>
          <m:t>=</m:t>
        </m:r>
        <m:r>
          <m:t>λ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Vraisemblance et log-vraisemblance.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λ</m:t>
              </m:r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=</m:t>
          </m:r>
          <m:borderBox>
            <m:e>
              <m:sSup>
                <m:e>
                  <m:r>
                    <m:t>λ</m:t>
                  </m:r>
                </m:e>
                <m:sup>
                  <m:r>
                    <m:t>n</m:t>
                  </m:r>
                </m:sup>
              </m:sSup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En prenant le logarithme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ln</m:t>
          </m:r>
          <m:r>
            <m:t>λ</m:t>
          </m:r>
          <m:r>
            <m:rPr>
              <m:sty m:val="p"/>
            </m:rPr>
            <m:t>−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borderBox>
            <m:e>
              <m:r>
                <m:t>n</m:t>
              </m:r>
              <m:r>
                <m:rPr>
                  <m:sty m:val="p"/>
                </m:rPr>
                <m:t>ln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acc>
                <m:accPr>
                  <m:chr m:val="‾"/>
                </m:accPr>
                <m:e>
                  <m:r>
                    <m:t>T</m:t>
                  </m:r>
                </m:e>
              </m:acc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Résolution</w:t>
      </w:r>
      <w:r>
        <w:rPr>
          <w:bCs/>
          <w:b/>
        </w:rPr>
        <w:t xml:space="preserve"> </w:t>
      </w:r>
      <m:oMath>
        <m:r>
          <m:t>d</m:t>
        </m:r>
        <m:r>
          <m:rPr>
            <m:sty m:val="p"/>
          </m:rPr>
          <m:t>ℓ</m:t>
        </m:r>
        <m:r>
          <m:rPr>
            <m:sty m:val="p"/>
          </m:rPr>
          <m:t>/</m:t>
        </m:r>
        <m:r>
          <m:t>d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: estimateur EMV.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ℓ</m:t>
              </m:r>
            </m:num>
            <m:den>
              <m:r>
                <m:t>d</m:t>
              </m:r>
              <m:r>
                <m:t>λ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T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posant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ℓ</m:t>
            </m:r>
          </m:num>
          <m:den>
            <m:r>
              <m:t>d</m:t>
            </m:r>
            <m:r>
              <m:t>λ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n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=</m:t>
          </m:r>
          <m:r>
            <m:t>n</m:t>
          </m:r>
          <m:acc>
            <m:accPr>
              <m:chr m:val="‾"/>
            </m:accPr>
            <m:e>
              <m:r>
                <m:t>T</m:t>
              </m:r>
            </m:e>
          </m:acc>
          <m:r>
            <m:rPr>
              <m:sty m:val="p"/>
            </m:rPr>
            <m:t>⟹</m:t>
          </m:r>
          <m:borderBox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Vérification que c’est bien un maximum 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ℓ</m:t>
              </m:r>
            </m:num>
            <m:den>
              <m:r>
                <m:t>d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ce qui confirme que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est bien un</w:t>
      </w:r>
      <w:r>
        <w:t xml:space="preserve"> </w:t>
      </w:r>
      <w:r>
        <w:rPr>
          <w:bCs/>
          <w:b/>
        </w:rPr>
        <w:t xml:space="preserve">maximum</w:t>
      </w:r>
      <w:r>
        <w:t xml:space="preserve"> </w:t>
      </w:r>
      <w:r>
        <w:t xml:space="preserve">de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Application numérique.</w:t>
      </w:r>
    </w:p>
    <w:p>
      <w:pPr>
        <w:pStyle w:val="BodyText"/>
      </w:pPr>
      <w:r>
        <w:t xml:space="preserve">Avec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et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s 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rPr>
                  <m:sty m:val="p"/>
                </m:rPr>
                <m:t>,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sSup>
                <m:e>
                  <m:r>
                    <m:rPr>
                      <m:nor/>
                      <m:sty m:val="p"/>
                    </m:rPr>
                    <m:t> 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L’estimation de l’espérance vaut 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T</m:t>
                  </m:r>
                </m:e>
              </m:d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borderBox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nor/>
                  <m:sty m:val="p"/>
                </m:rPr>
                <m:t> 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Remarque :</w:t>
      </w:r>
      <w:r>
        <w:t xml:space="preserve"> </w:t>
      </w:r>
      <w:r>
        <w:t xml:space="preserve">l’EMV de l’espérance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d’une loi exponentielle coïncide avec la moyenne empirique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</m:oMath>
      <w:r>
        <w:t xml:space="preserve">, résultat intuitivement satisfaisant.</w:t>
      </w:r>
    </w:p>
    <w:p>
      <w:r>
        <w:pict>
          <v:rect style="width:0;height:1.5pt" o:hralign="center" o:hrstd="t" o:hr="t"/>
        </w:pict>
      </w:r>
    </w:p>
    <w:bookmarkEnd w:id="26"/>
    <w:bookmarkStart w:id="27" w:name="Xf39ddeda65737c7d7a09102e8e59a26cb1b29ae"/>
    <w:p>
      <w:pPr>
        <w:pStyle w:val="Heading3"/>
      </w:pPr>
      <w:r>
        <w:t xml:space="preserve">Partie C — Intervalle de confiance pour une moyenne (12 points)</w:t>
      </w:r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requêtes,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t xml:space="preserve">ms,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ms² (variance corrigée, donc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Justification de l’approximation normale.</w:t>
      </w:r>
    </w:p>
    <w:p>
      <w:pPr>
        <w:pStyle w:val="BodyText"/>
      </w:pPr>
      <w:r>
        <w:t xml:space="preserve">L’échantillon contient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observations indépendantes. Par le</w:t>
      </w:r>
      <w:r>
        <w:t xml:space="preserve"> </w:t>
      </w:r>
      <w:r>
        <w:rPr>
          <w:bCs/>
          <w:b/>
        </w:rPr>
        <w:t xml:space="preserve">Théorème Central Limite</w:t>
      </w:r>
      <w:r>
        <w:t xml:space="preserve">, la moyenne empirique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100</m:t>
            </m:r>
          </m:sub>
        </m:sSub>
      </m:oMath>
      <w:r>
        <w:t xml:space="preserve"> </w:t>
      </w:r>
      <w:r>
        <w:t xml:space="preserve">suit</w:t>
      </w:r>
      <w:r>
        <w:t xml:space="preserve"> </w:t>
      </w:r>
      <w:r>
        <w:rPr>
          <w:bCs/>
          <w:b/>
        </w:rPr>
        <w:t xml:space="preserve">approximativement</w:t>
      </w:r>
      <w:r>
        <w:t xml:space="preserve"> </w:t>
      </w:r>
      <w:r>
        <w:t xml:space="preserve">une loi normale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100</m:t>
              </m:r>
            </m:sub>
          </m:sSub>
          <m:limUpp>
            <m:e>
              <m:r>
                <m:rPr>
                  <m:sty m:val="p"/>
                </m:rPr>
                <m:t>∼</m:t>
              </m:r>
            </m:e>
            <m:lim>
              <m:r>
                <m:rPr>
                  <m:nor/>
                  <m:sty m:val="p"/>
                </m:rPr>
                <m:t>approx</m:t>
              </m:r>
            </m:lim>
          </m:limUpp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substitue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à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(estimé sur l’échantillon)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  <m:scr m:val="script"/>
                </m:rPr>
                <m:t>N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t>400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nor/>
                  <m:sty m:val="p"/>
                </m:rPr>
                <m:t>avec 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100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ms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Intervalle de confiance à 95 %.</w:t>
      </w:r>
    </w:p>
    <w:p>
      <w:pPr>
        <w:pStyle w:val="BodyText"/>
      </w:pPr>
      <w:r>
        <w:t xml:space="preserve">La formule générale est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, avec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025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85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±</m:t>
          </m:r>
          <m:r>
            <m:t>3</m:t>
          </m:r>
          <m:r>
            <m:rPr>
              <m:sty m:val="p"/>
            </m:rPr>
            <m:t>,</m:t>
          </m:r>
          <m:r>
            <m:t>92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95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81</m:t>
                  </m:r>
                  <m:r>
                    <m:rPr>
                      <m:sty m:val="p"/>
                    </m:rPr>
                    <m:t>,</m:t>
                  </m:r>
                  <m:r>
                    <m:t>08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88</m:t>
                  </m:r>
                  <m:r>
                    <m:rPr>
                      <m:sty m:val="p"/>
                    </m:rPr>
                    <m:t>,</m:t>
                  </m:r>
                  <m:r>
                    <m:t>92</m:t>
                  </m:r>
                </m:e>
              </m:d>
              <m:r>
                <m:rPr>
                  <m:nor/>
                  <m:sty m:val="p"/>
                </m:rPr>
                <m:t> ms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Lecture :</w:t>
      </w:r>
      <w:r>
        <w:t xml:space="preserve"> </w:t>
      </w:r>
      <w:r>
        <w:t xml:space="preserve">on est certain à 95 % que le vrai temps de réponse moyen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de l’API est compris entre 81,08 ms et 88,92 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Intervalle de confiance à 99 %.</w:t>
      </w:r>
    </w:p>
    <w:p>
      <w:pPr>
        <w:pStyle w:val="BodyText"/>
      </w:pPr>
      <w:r>
        <w:t xml:space="preserve">On utilise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005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85</m:t>
          </m:r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,</m:t>
          </m:r>
          <m:r>
            <m:t>58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±</m:t>
          </m:r>
          <m:r>
            <m:t>5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99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79</m:t>
                  </m:r>
                  <m:r>
                    <m:rPr>
                      <m:sty m:val="p"/>
                    </m:rPr>
                    <m:t>,</m:t>
                  </m:r>
                  <m:r>
                    <m:t>84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90</m:t>
                  </m:r>
                  <m:r>
                    <m:rPr>
                      <m:sty m:val="p"/>
                    </m:rPr>
                    <m:t>,</m:t>
                  </m:r>
                  <m:r>
                    <m:t>16</m:t>
                  </m:r>
                </m:e>
              </m:d>
              <m:r>
                <m:rPr>
                  <m:nor/>
                  <m:sty m:val="p"/>
                </m:rPr>
                <m:t> ms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Remarque :</w:t>
      </w:r>
      <w:r>
        <w:t xml:space="preserve"> </w:t>
      </w:r>
      <w:r>
        <w:t xml:space="preserve">l’IC à 99 % est plus large que l’IC à 95 % (</w:t>
      </w:r>
      <m:oMath>
        <m:r>
          <m:rPr>
            <m:sty m:val="p"/>
          </m:rPr>
          <m:t>±</m:t>
        </m:r>
        <m:r>
          <m:t>5</m:t>
        </m:r>
        <m:r>
          <m:rPr>
            <m:sty m:val="p"/>
          </m:rPr>
          <m:t>,</m:t>
        </m:r>
        <m:r>
          <m:t>16</m:t>
        </m:r>
      </m:oMath>
      <w:r>
        <w:t xml:space="preserve"> </w:t>
      </w:r>
      <w:r>
        <w:t xml:space="preserve">contre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  <m:r>
          <m:rPr>
            <m:sty m:val="p"/>
          </m:rPr>
          <m:t>,</m:t>
        </m:r>
        <m:r>
          <m:t>92</m:t>
        </m:r>
      </m:oMath>
      <w:r>
        <w:t xml:space="preserve">) : une plus grande confiance exige un intervalle plus conservateur.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Effectif minimal pour une demi-largeur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  <m:r>
          <m:t>2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ms.</w:t>
      </w:r>
    </w:p>
    <w:p>
      <w:pPr>
        <w:pStyle w:val="BodyText"/>
      </w:pPr>
      <w:r>
        <w:t xml:space="preserve">On cherche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tel que la demi-largeur de l’IC à 95 % vérifie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025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⟹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isole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×</m:t>
              </m:r>
              <m:r>
                <m:t>20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19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élevant au carré 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r>
            <m:t>19</m:t>
          </m:r>
          <m:r>
            <m:rPr>
              <m:sty m:val="p"/>
            </m:rPr>
            <m:t>,</m:t>
          </m:r>
          <m:sSup>
            <m:e>
              <m:r>
                <m:t>6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384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385</m:t>
              </m:r>
              <m:r>
                <m:rPr>
                  <m:nor/>
                  <m:sty m:val="p"/>
                </m:rPr>
                <m:t> requêtes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Interprétation :</w:t>
      </w:r>
      <w:r>
        <w:t xml:space="preserve"> </w:t>
      </w:r>
      <w:r>
        <w:t xml:space="preserve">avec 385 observations (contre 100 dans l’énoncé), la précision de l’IC à 95 % passe de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  <m:r>
          <m:rPr>
            <m:sty m:val="p"/>
          </m:rPr>
          <m:t>,</m:t>
        </m:r>
        <m:r>
          <m:t>92</m:t>
        </m:r>
      </m:oMath>
      <w:r>
        <w:t xml:space="preserve"> </w:t>
      </w:r>
      <w:r>
        <w:t xml:space="preserve">ms à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ms. Multiplier la précision par un facteur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nécessite de multiplier la taille de l’échantillon par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final-revis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nal-revis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 — Révision Examen Final · Statistiques et Probabilités</dc:title>
  <dc:creator/>
  <dc:language>fr</dc:language>
  <cp:keywords/>
  <dcterms:created xsi:type="dcterms:W3CDTF">2026-05-23T18:14:16Z</dcterms:created>
  <dcterms:modified xsi:type="dcterms:W3CDTF">2026-05-23T18:14:16Z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Corrigé détaillé de la fiche de révision examen final.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2026-05-21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ece-proba</vt:lpwstr>
  </property>
  <property fmtid="{D5CDD505-2E9C-101B-9397-08002B2CF9AE}" pid="11" name="subtitle">
    <vt:lpwstr>Statistiques bivariées · Couples de v.a.r. continues · Convergence et estimation</vt:lpwstr>
  </property>
  <property fmtid="{D5CDD505-2E9C-101B-9397-08002B2CF9AE}" pid="12" name="toc-title">
    <vt:lpwstr>Table des matières</vt:lpwstr>
  </property>
</Properties>
</file>