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rFonts w:ascii="Proxima Nova" w:cs="Proxima Nova" w:eastAsia="Proxima Nova" w:hAnsi="Proxima Nova"/>
          <w:b w:val="1"/>
          <w:color w:val="404040"/>
          <w:sz w:val="60"/>
          <w:szCs w:val="60"/>
        </w:rPr>
      </w:pPr>
      <w:bookmarkStart w:colFirst="0" w:colLast="0" w:name="_kk1966kbedef" w:id="0"/>
      <w:bookmarkEnd w:id="0"/>
      <w:r w:rsidDel="00000000" w:rsidR="00000000" w:rsidRPr="00000000">
        <w:rPr>
          <w:b w:val="0"/>
          <w:color w:val="039be5"/>
          <w:sz w:val="48"/>
          <w:szCs w:val="48"/>
          <w:rtl w:val="0"/>
        </w:rPr>
        <w:t xml:space="preserve">Integrantes del grupo</w:t>
      </w:r>
      <w:r w:rsidDel="00000000" w:rsidR="00000000" w:rsidRPr="00000000">
        <w:rPr>
          <w:b w:val="0"/>
          <w:sz w:val="48"/>
          <w:szCs w:val="48"/>
          <w:rtl w:val="0"/>
        </w:rPr>
        <w:br w:type="textWrapping"/>
      </w:r>
      <w:r w:rsidDel="00000000" w:rsidR="00000000" w:rsidRPr="00000000">
        <w:rPr>
          <w:rtl w:val="0"/>
        </w:rPr>
        <w:t xml:space="preserve">Modelo de Diseño - Modelo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línea corta" id="6" name="image1.png"/>
            <a:graphic>
              <a:graphicData uri="http://schemas.openxmlformats.org/drawingml/2006/picture">
                <pic:pic>
                  <pic:nvPicPr>
                    <pic:cNvPr descr="línea corta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Proxima Nova" w:cs="Proxima Nova" w:eastAsia="Proxima Nova" w:hAnsi="Proxima Nova"/>
          <w:color w:val="039be5"/>
          <w:sz w:val="36"/>
          <w:szCs w:val="36"/>
        </w:rPr>
      </w:pPr>
      <w:bookmarkStart w:colFirst="0" w:colLast="0" w:name="_vrhvb96nxxe9" w:id="1"/>
      <w:bookmarkEnd w:id="1"/>
      <w:r w:rsidDel="00000000" w:rsidR="00000000" w:rsidRPr="00000000">
        <w:rPr>
          <w:rtl w:val="0"/>
        </w:rPr>
        <w:t xml:space="preserve">Objetivo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rtl w:val="0"/>
        </w:rPr>
        <w:t xml:space="preserve">&lt;Describir el propósito del modelo de datos y el criterio para tipar atributos de cada entidad.&gt;</w:t>
      </w:r>
    </w:p>
    <w:p w:rsidR="00000000" w:rsidDel="00000000" w:rsidP="00000000" w:rsidRDefault="00000000" w:rsidRPr="00000000" w14:paraId="00000005">
      <w:pPr>
        <w:ind w:left="0" w:firstLine="0"/>
        <w:rPr/>
      </w:pPr>
      <w:r w:rsidDel="00000000" w:rsidR="00000000" w:rsidRPr="00000000">
        <w:rPr>
          <w:rtl w:val="0"/>
        </w:rPr>
        <w:t xml:space="preserve">Ejemplo: El modelo de datos define las entidades del dominio, sus atributos tipados y las reglas de integridad que garantizan consistencia, seguridad y trazabilidad.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rPr/>
      </w:pPr>
      <w:bookmarkStart w:colFirst="0" w:colLast="0" w:name="_8r0iwwqgj20k" w:id="2"/>
      <w:bookmarkEnd w:id="2"/>
      <w:r w:rsidDel="00000000" w:rsidR="00000000" w:rsidRPr="00000000">
        <w:rPr>
          <w:rtl w:val="0"/>
        </w:rPr>
        <w:t xml:space="preserve">Alcance del modelo de datos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&lt;Indicar qué cubre el modelo (lógico/físico, ER de alto nivel, diccionario de datos) y qué queda fuera.&gt;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Ejemplo: Incluye diagrama ER lógico, catálogo de entidades y reglas de integridad. El detalle de ETL y data warehouse queda fuera de este documento.</w:t>
      </w:r>
    </w:p>
    <w:p w:rsidR="00000000" w:rsidDel="00000000" w:rsidP="00000000" w:rsidRDefault="00000000" w:rsidRPr="00000000" w14:paraId="00000009">
      <w:pPr>
        <w:pStyle w:val="Heading1"/>
        <w:rPr/>
      </w:pPr>
      <w:bookmarkStart w:colFirst="0" w:colLast="0" w:name="_fnjk6vnqzbqk" w:id="3"/>
      <w:bookmarkEnd w:id="3"/>
      <w:r w:rsidDel="00000000" w:rsidR="00000000" w:rsidRPr="00000000">
        <w:rPr>
          <w:rtl w:val="0"/>
        </w:rPr>
        <w:t xml:space="preserve">Convenciones de nomenclatura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&lt;Definir prefijos/sufijos, snake_case/camelCase, idioma, singular/plural, y convenciones para FK/PK.&gt;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Ejemplo: Tablas en singular </w:t>
      </w:r>
      <w:r w:rsidDel="00000000" w:rsidR="00000000" w:rsidRPr="00000000">
        <w:rPr>
          <w:color w:val="039be5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039be5"/>
          <w:rtl w:val="0"/>
        </w:rPr>
        <w:t xml:space="preserve">paquete</w:t>
      </w:r>
      <w:r w:rsidDel="00000000" w:rsidR="00000000" w:rsidRPr="00000000">
        <w:rPr>
          <w:rtl w:val="0"/>
        </w:rPr>
        <w:t xml:space="preserve">; columnas </w:t>
      </w:r>
      <w:r w:rsidDel="00000000" w:rsidR="00000000" w:rsidRPr="00000000">
        <w:rPr>
          <w:color w:val="039be5"/>
          <w:rtl w:val="0"/>
        </w:rPr>
        <w:t xml:space="preserve">snake_case</w:t>
      </w:r>
      <w:r w:rsidDel="00000000" w:rsidR="00000000" w:rsidRPr="00000000">
        <w:rPr>
          <w:rtl w:val="0"/>
        </w:rPr>
        <w:t xml:space="preserve">; PK</w:t>
      </w:r>
      <w:r w:rsidDel="00000000" w:rsidR="00000000" w:rsidRPr="00000000">
        <w:rPr>
          <w:color w:val="039be5"/>
          <w:rtl w:val="0"/>
        </w:rPr>
        <w:t xml:space="preserve"> id_&lt;tabla&gt;</w:t>
      </w:r>
      <w:r w:rsidDel="00000000" w:rsidR="00000000" w:rsidRPr="00000000">
        <w:rPr>
          <w:rtl w:val="0"/>
        </w:rPr>
        <w:t xml:space="preserve">; FKs </w:t>
      </w:r>
      <w:r w:rsidDel="00000000" w:rsidR="00000000" w:rsidRPr="00000000">
        <w:rPr>
          <w:color w:val="039be5"/>
          <w:rtl w:val="0"/>
        </w:rPr>
        <w:t xml:space="preserve">id_&lt;</w:t>
      </w:r>
      <w:r w:rsidDel="00000000" w:rsidR="00000000" w:rsidRPr="00000000">
        <w:rPr>
          <w:color w:val="039be5"/>
          <w:rtl w:val="0"/>
        </w:rPr>
        <w:t xml:space="preserve">tabla_referenciada</w:t>
      </w:r>
      <w:r w:rsidDel="00000000" w:rsidR="00000000" w:rsidRPr="00000000">
        <w:rPr>
          <w:color w:val="039be5"/>
          <w:rtl w:val="0"/>
        </w:rPr>
        <w:t xml:space="preserve">&gt;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C">
      <w:pPr>
        <w:pStyle w:val="Heading1"/>
        <w:rPr/>
      </w:pPr>
      <w:bookmarkStart w:colFirst="0" w:colLast="0" w:name="_waicvsjecaq4" w:id="4"/>
      <w:bookmarkEnd w:id="4"/>
      <w:r w:rsidDel="00000000" w:rsidR="00000000" w:rsidRPr="00000000">
        <w:rPr>
          <w:rtl w:val="0"/>
        </w:rPr>
        <w:t xml:space="preserve">Identificaciones y claves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&lt;Especificar claves primarias (tipo, autogeneración), claves naturales vs. sustitutas, y restricciones UNIQUE.&gt;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Ejemplo: PK sustitutas </w:t>
      </w:r>
      <w:r w:rsidDel="00000000" w:rsidR="00000000" w:rsidRPr="00000000">
        <w:rPr>
          <w:color w:val="039be5"/>
          <w:rtl w:val="0"/>
        </w:rPr>
        <w:t xml:space="preserve">BIGINT GENERATED ALWAYS AS IDENTITY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color w:val="039be5"/>
          <w:rtl w:val="0"/>
        </w:rPr>
        <w:t xml:space="preserve">dni </w:t>
      </w: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color w:val="039be5"/>
          <w:rtl w:val="0"/>
        </w:rPr>
        <w:t xml:space="preserve">email </w:t>
      </w:r>
      <w:r w:rsidDel="00000000" w:rsidR="00000000" w:rsidRPr="00000000">
        <w:rPr>
          <w:rtl w:val="0"/>
        </w:rPr>
        <w:t xml:space="preserve">con UNIQUE.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rPr/>
      </w:pPr>
      <w:bookmarkStart w:colFirst="0" w:colLast="0" w:name="_ww8genob8nes" w:id="5"/>
      <w:bookmarkEnd w:id="5"/>
      <w:r w:rsidDel="00000000" w:rsidR="00000000" w:rsidRPr="00000000">
        <w:rPr>
          <w:rtl w:val="0"/>
        </w:rPr>
        <w:t xml:space="preserve">Entidades y atributos (catálogo)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&lt;Listar cada entidad con sus atributos, tipo, </w:t>
      </w:r>
      <w:r w:rsidDel="00000000" w:rsidR="00000000" w:rsidRPr="00000000">
        <w:rPr>
          <w:rtl w:val="0"/>
        </w:rPr>
        <w:t xml:space="preserve">nulabilidad</w:t>
      </w:r>
      <w:r w:rsidDel="00000000" w:rsidR="00000000" w:rsidRPr="00000000">
        <w:rPr>
          <w:rtl w:val="0"/>
        </w:rPr>
        <w:t xml:space="preserve"> y comentarios breves.&gt;</w:t>
        <w:br w:type="textWrapping"/>
      </w:r>
      <w:r w:rsidDel="00000000" w:rsidR="00000000" w:rsidRPr="00000000">
        <w:rPr>
          <w:rtl w:val="0"/>
        </w:rPr>
        <w:t xml:space="preserve"> Ejemplo:</w:t>
        <w:br w:type="textWrapping"/>
        <w:t xml:space="preserve"> cliente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039be5"/>
          <w:rtl w:val="0"/>
        </w:rPr>
        <w:t xml:space="preserve">id_cliente</w:t>
      </w:r>
      <w:r w:rsidDel="00000000" w:rsidR="00000000" w:rsidRPr="00000000">
        <w:rPr>
          <w:rtl w:val="0"/>
        </w:rPr>
        <w:t xml:space="preserve">: BIGINT, PK, NOT NULL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039be5"/>
          <w:rtl w:val="0"/>
        </w:rPr>
        <w:t xml:space="preserve">nombre</w:t>
      </w:r>
      <w:r w:rsidDel="00000000" w:rsidR="00000000" w:rsidRPr="00000000">
        <w:rPr>
          <w:rtl w:val="0"/>
        </w:rPr>
        <w:t xml:space="preserve">: VARCHAR(100), NOT NULL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039be5"/>
          <w:rtl w:val="0"/>
        </w:rPr>
        <w:t xml:space="preserve">apellido</w:t>
      </w:r>
      <w:r w:rsidDel="00000000" w:rsidR="00000000" w:rsidRPr="00000000">
        <w:rPr>
          <w:rtl w:val="0"/>
        </w:rPr>
        <w:t xml:space="preserve">: VARCHAR(100), NOT NULL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039be5"/>
          <w:rtl w:val="0"/>
        </w:rPr>
        <w:t xml:space="preserve">dni</w:t>
      </w:r>
      <w:r w:rsidDel="00000000" w:rsidR="00000000" w:rsidRPr="00000000">
        <w:rPr>
          <w:rtl w:val="0"/>
        </w:rPr>
        <w:t xml:space="preserve">: VARCHAR(20), UNIQUE, NOT NULL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039be5"/>
          <w:rtl w:val="0"/>
        </w:rPr>
        <w:t xml:space="preserve">fecha_nacimiento</w:t>
      </w:r>
      <w:r w:rsidDel="00000000" w:rsidR="00000000" w:rsidRPr="00000000">
        <w:rPr>
          <w:rtl w:val="0"/>
        </w:rPr>
        <w:t xml:space="preserve">: DATE, NULL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039be5"/>
          <w:rtl w:val="0"/>
        </w:rPr>
        <w:t xml:space="preserve">domicilio</w:t>
      </w:r>
      <w:r w:rsidDel="00000000" w:rsidR="00000000" w:rsidRPr="00000000">
        <w:rPr>
          <w:rtl w:val="0"/>
        </w:rPr>
        <w:t xml:space="preserve">: VARCHAR(255), NULL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039be5"/>
          <w:rtl w:val="0"/>
        </w:rPr>
        <w:t xml:space="preserve">email</w:t>
      </w:r>
      <w:r w:rsidDel="00000000" w:rsidR="00000000" w:rsidRPr="00000000">
        <w:rPr>
          <w:rtl w:val="0"/>
        </w:rPr>
        <w:t xml:space="preserve">: VARCHAR(254), UNIQUE, NOT NULL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039be5"/>
          <w:rtl w:val="0"/>
        </w:rPr>
        <w:t xml:space="preserve">telefono</w:t>
      </w:r>
      <w:r w:rsidDel="00000000" w:rsidR="00000000" w:rsidRPr="00000000">
        <w:rPr>
          <w:rtl w:val="0"/>
        </w:rPr>
        <w:t xml:space="preserve">: VARCHAR(30), NULL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039be5"/>
          <w:rtl w:val="0"/>
        </w:rPr>
        <w:t xml:space="preserve">password_hash</w:t>
      </w:r>
      <w:r w:rsidDel="00000000" w:rsidR="00000000" w:rsidRPr="00000000">
        <w:rPr>
          <w:rtl w:val="0"/>
        </w:rPr>
        <w:t xml:space="preserve">: VARBINARY(60), NOT NULL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039be5"/>
          <w:rtl w:val="0"/>
        </w:rPr>
        <w:t xml:space="preserve">id_paquete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: BIGINT, FK → </w:t>
      </w:r>
      <w:r w:rsidDel="00000000" w:rsidR="00000000" w:rsidRPr="00000000">
        <w:rPr>
          <w:rFonts w:ascii="Roboto Mono" w:cs="Roboto Mono" w:eastAsia="Roboto Mono" w:hAnsi="Roboto Mono"/>
          <w:color w:val="039be5"/>
          <w:rtl w:val="0"/>
        </w:rPr>
        <w:t xml:space="preserve">paquete(</w:t>
      </w:r>
      <w:r w:rsidDel="00000000" w:rsidR="00000000" w:rsidRPr="00000000">
        <w:rPr>
          <w:rFonts w:ascii="Roboto Mono" w:cs="Roboto Mono" w:eastAsia="Roboto Mono" w:hAnsi="Roboto Mono"/>
          <w:color w:val="039be5"/>
          <w:rtl w:val="0"/>
        </w:rPr>
        <w:t xml:space="preserve">id_paquete</w:t>
      </w:r>
      <w:r w:rsidDel="00000000" w:rsidR="00000000" w:rsidRPr="00000000">
        <w:rPr>
          <w:rFonts w:ascii="Roboto Mono" w:cs="Roboto Mono" w:eastAsia="Roboto Mono" w:hAnsi="Roboto Mono"/>
          <w:color w:val="039be5"/>
          <w:rtl w:val="0"/>
        </w:rPr>
        <w:t xml:space="preserve">)</w:t>
      </w:r>
      <w:r w:rsidDel="00000000" w:rsidR="00000000" w:rsidRPr="00000000">
        <w:rPr>
          <w:rtl w:val="0"/>
        </w:rPr>
        <w:t xml:space="preserve">, NULL</w:t>
      </w:r>
    </w:p>
    <w:p w:rsidR="00000000" w:rsidDel="00000000" w:rsidP="00000000" w:rsidRDefault="00000000" w:rsidRPr="00000000" w14:paraId="0000001B">
      <w:pPr>
        <w:pStyle w:val="Heading1"/>
        <w:rPr/>
      </w:pPr>
      <w:bookmarkStart w:colFirst="0" w:colLast="0" w:name="_79xamqo5vvkr" w:id="6"/>
      <w:bookmarkEnd w:id="6"/>
      <w:r w:rsidDel="00000000" w:rsidR="00000000" w:rsidRPr="00000000">
        <w:rPr>
          <w:rtl w:val="0"/>
        </w:rPr>
        <w:t xml:space="preserve">Retención y borrado de datos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&lt;Políticas de retención, borrado lógico vs. físico, y cumplimiento legal.&gt;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Ejemplo: Borrado lógico con deleted_at; retención 5 años para solicitud por normativa.</w:t>
      </w:r>
    </w:p>
    <w:p w:rsidR="00000000" w:rsidDel="00000000" w:rsidP="00000000" w:rsidRDefault="00000000" w:rsidRPr="00000000" w14:paraId="0000001E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="300" w:lineRule="auto"/>
        <w:rPr/>
      </w:pPr>
      <w:r w:rsidDel="00000000" w:rsidR="00000000" w:rsidRPr="00000000">
        <w:rPr>
          <w:rFonts w:ascii="Proxima Nova" w:cs="Proxima Nova" w:eastAsia="Proxima Nova" w:hAnsi="Proxima Nova"/>
          <w:color w:val="666666"/>
        </w:rPr>
        <w:drawing>
          <wp:inline distB="114300" distT="114300" distL="114300" distR="114300">
            <wp:extent cx="438150" cy="57150"/>
            <wp:effectExtent b="0" l="0" r="0" t="0"/>
            <wp:docPr descr="guion corto" id="2" name="image3.png"/>
            <a:graphic>
              <a:graphicData uri="http://schemas.openxmlformats.org/drawingml/2006/picture">
                <pic:pic>
                  <pic:nvPicPr>
                    <pic:cNvPr descr="guion corto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5840" w:w="12240" w:orient="portrait"/>
      <w:pgMar w:bottom="1440" w:top="144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-919162</wp:posOffset>
          </wp:positionH>
          <wp:positionV relativeFrom="paragraph">
            <wp:posOffset>438150</wp:posOffset>
          </wp:positionV>
          <wp:extent cx="7781925" cy="409575"/>
          <wp:effectExtent b="0" l="0" r="0" t="0"/>
          <wp:wrapTopAndBottom distB="0" distT="0"/>
          <wp:docPr descr="pie de página" id="5" name="image4.png"/>
          <a:graphic>
            <a:graphicData uri="http://schemas.openxmlformats.org/drawingml/2006/picture">
              <pic:pic>
                <pic:nvPicPr>
                  <pic:cNvPr descr="pie de página"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-919162</wp:posOffset>
          </wp:positionH>
          <wp:positionV relativeFrom="paragraph">
            <wp:posOffset>438150</wp:posOffset>
          </wp:positionV>
          <wp:extent cx="7781925" cy="409575"/>
          <wp:effectExtent b="0" l="0" r="0" t="0"/>
          <wp:wrapTopAndBottom distB="0" distT="0"/>
          <wp:docPr descr="pie de página" id="1" name="image4.png"/>
          <a:graphic>
            <a:graphicData uri="http://schemas.openxmlformats.org/drawingml/2006/picture">
              <pic:pic>
                <pic:nvPicPr>
                  <pic:cNvPr descr="pie de página"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6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-914399</wp:posOffset>
          </wp:positionH>
          <wp:positionV relativeFrom="paragraph">
            <wp:posOffset>-66674</wp:posOffset>
          </wp:positionV>
          <wp:extent cx="7781925" cy="95250"/>
          <wp:effectExtent b="0" l="0" r="0" t="0"/>
          <wp:wrapTopAndBottom distB="0" distT="0"/>
          <wp:docPr descr="línea horizontal" id="7" name="image4.png"/>
          <a:graphic>
            <a:graphicData uri="http://schemas.openxmlformats.org/drawingml/2006/picture">
              <pic:pic>
                <pic:nvPicPr>
                  <pic:cNvPr descr="línea horizontal"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0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color w:val="666666"/>
        <w:sz w:val="20"/>
        <w:szCs w:val="20"/>
      </w:rPr>
      <w:drawing>
        <wp:inline distB="114300" distT="114300" distL="114300" distR="114300">
          <wp:extent cx="447675" cy="57150"/>
          <wp:effectExtent b="0" l="0" r="0" t="0"/>
          <wp:docPr descr="línea corta" id="3" name="image2.png"/>
          <a:graphic>
            <a:graphicData uri="http://schemas.openxmlformats.org/drawingml/2006/picture">
              <pic:pic>
                <pic:nvPicPr>
                  <pic:cNvPr descr="línea corta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47675" cy="571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640" w:line="30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-919162</wp:posOffset>
          </wp:positionH>
          <wp:positionV relativeFrom="paragraph">
            <wp:posOffset>-66674</wp:posOffset>
          </wp:positionV>
          <wp:extent cx="7781925" cy="95250"/>
          <wp:effectExtent b="0" l="0" r="0" t="0"/>
          <wp:wrapTopAndBottom distB="0" distT="0"/>
          <wp:docPr descr="línea horizontal" id="4" name="image4.png"/>
          <a:graphic>
            <a:graphicData uri="http://schemas.openxmlformats.org/drawingml/2006/picture">
              <pic:pic>
                <pic:nvPicPr>
                  <pic:cNvPr descr="línea horizontal"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roxima Nova" w:cs="Proxima Nova" w:eastAsia="Proxima Nova" w:hAnsi="Proxima Nova"/>
        <w:sz w:val="22"/>
        <w:szCs w:val="22"/>
        <w:lang w:val="es"/>
      </w:rPr>
    </w:rPrDefault>
    <w:pPrDefault>
      <w:pPr>
        <w:spacing w:before="20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80" w:line="300" w:lineRule="auto"/>
    </w:pPr>
    <w:rPr>
      <w:rFonts w:ascii="Proxima Nova" w:cs="Proxima Nova" w:eastAsia="Proxima Nova" w:hAnsi="Proxima Nova"/>
      <w:color w:val="039be5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200" w:line="300" w:lineRule="auto"/>
    </w:pPr>
    <w:rPr>
      <w:rFonts w:ascii="Proxima Nova" w:cs="Proxima Nova" w:eastAsia="Proxima Nova" w:hAnsi="Proxima Nova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</w:pPr>
    <w:rPr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line="240" w:lineRule="auto"/>
    </w:pPr>
    <w:rPr>
      <w:rFonts w:ascii="Proxima Nova" w:cs="Proxima Nova" w:eastAsia="Proxima Nova" w:hAnsi="Proxima Nova"/>
      <w:b w:val="1"/>
      <w:color w:val="404040"/>
      <w:sz w:val="60"/>
      <w:szCs w:val="6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120" w:lineRule="auto"/>
    </w:pPr>
    <w:rPr>
      <w:color w:val="404040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2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9" Type="http://schemas.openxmlformats.org/officeDocument/2006/relationships/font" Target="fonts/NovaMono-regular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