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progreso — Agente + MCP (Nivel 4)</w:t>
      </w:r>
    </w:p>
    <w:p>
      <w:r>
        <w:rPr>
          <w:b/>
        </w:rPr>
        <w:t>Módulo 6 · Día 6</w:t>
      </w:r>
      <w:r>
        <w:t xml:space="preserve"> · Entrega del viernes 14 de agosto de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Equipo</w:t>
            </w:r>
          </w:p>
        </w:tc>
        <w:tc>
          <w:tcPr>
            <w:tcW w:type="dxa" w:w="4320"/>
          </w:tcPr>
          <w:p>
            <w:r/>
            <w:r>
              <w:t>Individual — 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versión fija, nunca </w:t>
            </w:r>
            <w:r>
              <w:rPr>
                <w:rFonts w:ascii="Consolas" w:hAnsi="Consolas"/>
                <w:sz w:val="19"/>
              </w:rPr>
              <w:t>latest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Embeddings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nomic-embed-text</w:t>
            </w:r>
            <w:r>
              <w:t xml:space="preserve"> local</w:t>
            </w:r>
          </w:p>
        </w:tc>
      </w:tr>
    </w:tbl>
    <w:p/>
    <w:p/>
    <w:p>
      <w:pPr>
        <w:pStyle w:val="Heading2"/>
      </w:pPr>
      <w:r>
        <w:t>1.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t>Bucle ReAct con tope de pasos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apps/samples/agente.py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MAX_PASOS = 6</w:t>
            </w:r>
          </w:p>
        </w:tc>
      </w:tr>
      <w:tr>
        <w:tc>
          <w:tcPr>
            <w:tcW w:type="dxa" w:w="2880"/>
          </w:tcPr>
          <w:p>
            <w:r/>
            <w:r>
              <w:t>Multipaso encadenando ≥2 herramientas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traza de 6 pasos, §3.2</w:t>
            </w:r>
          </w:p>
        </w:tc>
      </w:tr>
      <w:tr>
        <w:tc>
          <w:tcPr>
            <w:tcW w:type="dxa" w:w="2880"/>
          </w:tcPr>
          <w:p>
            <w:r/>
            <w:r>
              <w:t>4 tools en servidor MCP propio</w:t>
            </w:r>
          </w:p>
        </w:tc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servidor_mcp.py</w:t>
            </w:r>
          </w:p>
        </w:tc>
      </w:tr>
      <w:tr>
        <w:tc>
          <w:tcPr>
            <w:tcW w:type="dxa" w:w="2880"/>
          </w:tcPr>
          <w:p>
            <w:r/>
            <w:r>
              <w:t>Cliente que descubre por protocolo, sin import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cliente_mcp.py</w:t>
            </w:r>
          </w:p>
        </w:tc>
      </w:tr>
      <w:tr>
        <w:tc>
          <w:tcPr>
            <w:tcW w:type="dxa" w:w="2880"/>
          </w:tcPr>
          <w:p>
            <w:r/>
            <w:r>
              <w:t>Escritura solo con confirmación explícita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agente_escritura.py</w:t>
            </w:r>
            <w:r>
              <w:t>, §4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/agente</w:t>
            </w:r>
            <w:r>
              <w:t xml:space="preserve"> con respuesta + traza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AgenteView</w:t>
            </w:r>
            <w:r>
              <w:t>, §3.1</w:t>
            </w:r>
          </w:p>
        </w:tc>
      </w:tr>
    </w:tbl>
    <w:p/>
    <w:p>
      <w:r>
        <w:rPr>
          <w:b/>
        </w:rPr>
        <w:t>Estado de la escalera:</w:t>
      </w:r>
      <w:r>
        <w:t xml:space="preserve"> niveles 0 a 4 implementados y medidos. El nivel 3 (RAG) se cerró esta misma semana; este informe cubre el 4.</w:t>
      </w:r>
    </w:p>
    <w:p/>
    <w:p>
      <w:pPr>
        <w:pStyle w:val="Heading2"/>
      </w:pPr>
      <w:r>
        <w:t>2. Qué se construyó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apps/samples/agente.py            bucle ReAct: pensamiento → acción → observación</w:t>
        <w:br/>
        <w:t>apps/samples/agente_acciones.py   6 acciones: 4 consultas + RAG + 1 escritura</w:t>
        <w:br/>
        <w:t>apps/samples/agente_escritura.py  el guardrail de confirmación</w:t>
        <w:br/>
        <w:t>apps/samples/mcp_conexion.py      puente: descubrir por protocolo (fase 5)</w:t>
        <w:br/>
        <w:t>servidor_mcp.py                   publica las 6 por stdio/JSON-RPC</w:t>
        <w:br/>
        <w:t>cliente_mcp.py                    las descubre y llama sin importar Django</w:t>
        <w:br/>
        <w:t>apps/samples/views.py → AgenteView   POST /agente</w:t>
      </w:r>
    </w:p>
    <w:p>
      <w:r>
        <w:rPr>
          <w:b/>
        </w:rPr>
        <w:t>El bucle no sabe qué herramientas existen.</w:t>
      </w:r>
      <w:r>
        <w:t xml:space="preserve"> Recibe </w:t>
      </w:r>
      <w:r>
        <w:rPr>
          <w:rFonts w:ascii="Consolas" w:hAnsi="Consolas"/>
          <w:sz w:val="19"/>
        </w:rPr>
        <w:t>(schemas, ejecutar)</w:t>
      </w:r>
      <w:r>
        <w:t>. Por eso el mismo bucle corre con herramientas importadas o descubiertas por MCP: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local  : schemas=agente_acciones.schemas()   ejecutar=agente_acciones.ejecutar</w:t>
        <w:br/>
        <w:t>vía MCP: schemas=conexion.descubrir_tools()  ejecutar=conexion.ejecutar_tool</w:t>
      </w:r>
    </w:p>
    <w:p>
      <w:r>
        <w:t xml:space="preserve">Y los *schemas* de las consultas se </w:t>
      </w:r>
      <w:r>
        <w:rPr>
          <w:b/>
        </w:rPr>
        <w:t>derivan</w:t>
      </w:r>
      <w:r>
        <w:t xml:space="preserve"> del catálogo que ya existía (</w:t>
      </w:r>
      <w:r>
        <w:rPr>
          <w:rFonts w:ascii="Consolas" w:hAnsi="Consolas"/>
          <w:sz w:val="19"/>
        </w:rPr>
        <w:t>tools.py</w:t>
      </w:r>
      <w:r>
        <w:t xml:space="preserve">, del Día 4): una quinta herramienta la vería el agente sin tocar nada. El servidor MCP delega en las mismas funciones. </w:t>
      </w:r>
      <w:r>
        <w:rPr>
          <w:b/>
        </w:rPr>
        <w:t>Una definición, tres transportes</w:t>
      </w:r>
      <w:r>
        <w:t xml:space="preserve"> — HTTP, agente local y MCP.</w:t>
      </w:r>
    </w:p>
    <w:p/>
    <w:p>
      <w:pPr>
        <w:pStyle w:val="Heading2"/>
      </w:pPr>
      <w:r>
        <w:t>3. Traza — la evidencia</w:t>
      </w:r>
    </w:p>
    <w:p>
      <w:pPr>
        <w:pStyle w:val="Heading3"/>
      </w:pPr>
      <w:r>
        <w:t>3.1 `POST /agente` — caso simple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/api/clinic/agente/  {"pregunta": "¿Qué casos están reportados?"}</w:t>
        <w:br/>
        <w:t>→ 200</w:t>
        <w:br/>
        <w:br/>
        <w:t>[01] pregunta     ¿Qué casos están reportados?</w:t>
        <w:br/>
        <w:t>[02] accion       CASOS_REPORTADOS({})</w:t>
        <w:br/>
        <w:t>[03] observacion  {"herramienta":"CASOS_REPORTADOS","fuente":"clinic_samples","n":2,…}</w:t>
        <w:br/>
        <w:t>[04] respuesta    Hay dos casos reportados: CHN-2026-08-06-2574 y CHN-DEMO-T21.</w:t>
        <w:br/>
        <w:br/>
        <w:t>pasos 4/6 · tokens 1.853 entrada / 43 salida · 300 s · completado: sí</w:t>
      </w:r>
    </w:p>
    <w:p>
      <w:pPr>
        <w:pStyle w:val="Heading3"/>
      </w:pPr>
      <w:r>
        <w:t>3.2 Multipaso — encadena herramienta + RAG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[01] pregunta     ¿Hay cromosomas pendientes de revisar, y por qué hay que revisarlos?</w:t>
        <w:br/>
        <w:t>[02] accion       CROMOSOMAS_PARA_REVISION({})</w:t>
        <w:br/>
        <w:t>[03] observacion  {"n":50,"fuente":"clinic_chromosomes",…}</w:t>
        <w:br/>
        <w:t>[04] accion       buscar_documentacion({"pregunta":"por qué revisar cromosomas…"})</w:t>
        <w:br/>
        <w:t>[05] observacion  {"encontrado":true,"fuentes":[…]}</w:t>
        <w:br/>
        <w:t>[06] respuesta    …</w:t>
        <w:br/>
        <w:br/>
        <w:t>pasos 6/6 · tokens 2.705 / 279 · 843 s</w:t>
      </w:r>
    </w:p>
    <w:p>
      <w:r>
        <w:t xml:space="preserve">Ninguna de las dos preguntas la resuelve un nivel inferior: la primera necesita el estado, la segunda necesita </w:t>
      </w:r>
      <w:r>
        <w:rPr>
          <w:b/>
        </w:rPr>
        <w:t>estado y regla</w:t>
      </w:r>
      <w:r>
        <w:t>.</w:t>
      </w:r>
    </w:p>
    <w:p>
      <w:pPr>
        <w:pStyle w:val="Heading3"/>
      </w:pPr>
      <w:r>
        <w:t>3.3 Las 6 herramientas descubiertas por protocolo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$ python cliente_mcp.py</w:t>
        <w:br/>
        <w:t>6 herramientas via JSON-RPC:</w:t>
        <w:br/>
        <w:t xml:space="preserve">  cromosomas_para_revision     Lista los cromosomas marcados en naranja…</w:t>
        <w:br/>
        <w:t xml:space="preserve">  casos_pendientes_firma       Lista los casos que el analista ya validó…</w:t>
        <w:br/>
        <w:t xml:space="preserve">  casos_reportados             Lista los casos ya cerrados y firmados…</w:t>
        <w:br/>
        <w:t xml:space="preserve">  casos_en_proceso             Lista las muestras que el sistema analiza…</w:t>
        <w:br/>
        <w:t xml:space="preserve">  buscar_documentacion         Busca en la documentación del laboratorio…</w:t>
        <w:br/>
        <w:t xml:space="preserve">  preparar_validacion_de_caso  Prepara la validación de un caso…</w:t>
        <w:br/>
        <w:br/>
        <w:t>Este cliente NO importa Django ni tools.py: solo habla el protocolo.</w:t>
      </w:r>
    </w:p>
    <w:p/>
    <w:p>
      <w:pPr>
        <w:pStyle w:val="Heading2"/>
      </w:pPr>
      <w:r>
        <w:t>4. El guardrail de escritura, y por qué aquí es más estricto</w:t>
      </w:r>
    </w:p>
    <w:p>
      <w:r>
        <w:t xml:space="preserve">El laboratorio de clase permite que </w:t>
      </w:r>
      <w:r>
        <w:rPr>
          <w:rFonts w:ascii="Consolas" w:hAnsi="Consolas"/>
          <w:sz w:val="19"/>
        </w:rPr>
        <w:t>confirmado=true</w:t>
      </w:r>
      <w:r>
        <w:t xml:space="preserve"> cancele el pedido. </w:t>
      </w:r>
      <w:r>
        <w:rPr>
          <w:b/>
        </w:rPr>
        <w:t>Aquí nunca ejecuta</w:t>
      </w:r>
      <w:r>
        <w:t>, y la diferencia es de dominio, no de implementación.</w:t>
      </w:r>
    </w:p>
    <w:p>
      <w:r>
        <w:t>AGENTS.md, RN-01, literal:</w:t>
      </w:r>
    </w:p>
    <w:p>
      <w:pPr>
        <w:ind w:left="360"/>
        <w:jc w:val="left"/>
      </w:pPr>
      <w:r>
        <w:rPr>
          <w:i/>
        </w:rPr>
        <w:t>Ningún informe puede emitirse sin: (a) validación manual del analista de TODOS</w:t>
      </w:r>
    </w:p>
    <w:p>
      <w:pPr>
        <w:ind w:left="360"/>
        <w:jc w:val="left"/>
      </w:pPr>
      <w:r>
        <w:rPr>
          <w:i/>
        </w:rPr>
        <w:t>los cromosomas naranjas (b) firma digital del supervisor (MFA obligatorio)</w:t>
      </w:r>
    </w:p>
    <w:p>
      <w:r>
        <w:t>RN-06 añade que Supervisor y Analista no pueden ser el mismo usuario. Un proceso automático no cumple ninguna: no es un analista identificado ni puede aportar un segundo factor. Cancelar una compra es reversible y lo autoriza su dueño; validar un cariotipo es un acto clínico que firma un profesional con su nombre.</w:t>
      </w:r>
    </w:p>
    <w:p>
      <w:r>
        <w:rPr>
          <w:b/>
        </w:rPr>
        <w:t>Con `confirmado=false`</w:t>
      </w:r>
      <w:r>
        <w:t xml:space="preserve"> devuelve el trabajo preparado: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{"caso": "CHN-2026-08-06-0001", "estado_actual": "READY",</w:t>
        <w:br/>
        <w:t xml:space="preserve"> "naranjas_sin_resolver": 32,</w:t>
        <w:br/>
        <w:t xml:space="preserve"> "bloqueos": ["32 cromosoma(s) naranja sin resolver (RN-02)"],</w:t>
        <w:br/>
        <w:t xml:space="preserve"> "quien_puede_hacerlo": "un analista identificado, desde la aplicación. No el agente: RN-01."}</w:t>
      </w:r>
    </w:p>
    <w:p>
      <w:r>
        <w:rPr>
          <w:b/>
        </w:rPr>
        <w:t>Con `confirmado=true`</w:t>
      </w:r>
      <w:r>
        <w:t xml:space="preserve">, llamado </w:t>
      </w:r>
      <w:r>
        <w:rPr>
          <w:b/>
        </w:rPr>
        <w:t>desde el cliente MCP externo</w:t>
      </w:r>
      <w:r>
        <w:t xml:space="preserve"> —que no conoce RN-01—: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{"ejecutado": false, "motivo": "RN-01",</w:t>
        <w:br/>
        <w:t xml:space="preserve"> "detalle": "Un agente no puede validar un caso. RN-01 exige validación manual</w:t>
        <w:br/>
        <w:t xml:space="preserve">             del analista y firma del supervisor con MFA; RN-06 exige además</w:t>
        <w:br/>
        <w:t xml:space="preserve">             que no sean la misma persona."}</w:t>
      </w:r>
    </w:p>
    <w:p>
      <w:r>
        <w:t xml:space="preserve">El guardrail vive </w:t>
      </w:r>
      <w:r>
        <w:rPr>
          <w:b/>
        </w:rPr>
        <w:t>en la herramienta</w:t>
      </w:r>
      <w:r>
        <w:t>, no en el bucle. Si viviera en el bucle solo protegería a nuestro agente; puesto en la herramienta viaja con ella por MCP a cualquier cliente que la descubra.</w:t>
      </w:r>
    </w:p>
    <w:p/>
    <w:p>
      <w:pPr>
        <w:pStyle w:val="Heading2"/>
      </w:pPr>
      <w:r>
        <w:t>5. Qué no funcionó — hallazgos medidos</w:t>
      </w:r>
    </w:p>
    <w:p>
      <w:pPr>
        <w:pStyle w:val="Heading3"/>
      </w:pPr>
      <w:r>
        <w:t>5.1 El modelo de 3B no encadenaba, y rellenaba el hueco inventando</w:t>
      </w:r>
    </w:p>
    <w:p>
      <w:r>
        <w:t xml:space="preserve">Ante «¿hay cromosomas pendientes, y por qué hay que revisarlos?» hacía </w:t>
      </w:r>
      <w:r>
        <w:rPr>
          <w:b/>
        </w:rPr>
        <w:t>una</w:t>
      </w:r>
      <w:r>
        <w:t xml:space="preserve"> consulta y se inventaba la segunda mitad. Dio un umbral del </w:t>
      </w:r>
      <w:r>
        <w:rPr>
          <w:b/>
        </w:rPr>
        <w:t>90%</w:t>
      </w:r>
      <w:r>
        <w:t xml:space="preserve"> —el real es 85%, y está en el corpus a una llamada de distancia— y lo encabezó con *«según la herramienta de consulta»*.</w:t>
      </w:r>
    </w:p>
    <w:p>
      <w:r>
        <w:t xml:space="preserve">Inventar es grave; </w:t>
      </w:r>
      <w:r>
        <w:rPr>
          <w:b/>
        </w:rPr>
        <w:t>atribuirlo a una fuente que no lo dijo, más</w:t>
      </w:r>
      <w:r>
        <w:t>. Y solo se ve mirando la traza: sin ella, la respuesta parece fundamentada. Es exactamente el argumento de por qué la traza es un guardrail y no una utilidad de depuración.</w:t>
      </w:r>
    </w:p>
    <w:p>
      <w:r>
        <w:t>Corregido reforzando las instrucciones con el ejemplo concreto y prohibiciones explícitas. Ahora encadena (§3.2).</w:t>
      </w:r>
    </w:p>
    <w:p>
      <w:pPr>
        <w:pStyle w:val="Heading3"/>
      </w:pPr>
      <w:r>
        <w:t>5.2 Medir el RAG aislado no predice su comportamiento dentro del agente</w:t>
      </w:r>
    </w:p>
    <w:p>
      <w:r>
        <w:t xml:space="preserve">El RAG mide </w:t>
      </w:r>
      <w:r>
        <w:rPr>
          <w:b/>
        </w:rPr>
        <w:t>89%</w:t>
      </w:r>
      <w:r>
        <w:t xml:space="preserve"> (16/18) con preguntas escritas por una persona. Dentro del bucle las escribe el modelo, y las escribe peor: reformuló la consulta como «por qué revisar cromosomas pendientes» y recuperó ADR-0027 —un documento sobre similitud vectorial— con el que construyó una respuesta sin sentido.</w:t>
      </w:r>
    </w:p>
    <w:p>
      <w:r>
        <w:t xml:space="preserve">La misma pregunta escrita como «¿por qué el sistema marca cromosomas en naranja?» </w:t>
      </w:r>
      <w:r>
        <w:rPr>
          <w:b/>
        </w:rPr>
        <w:t>sí</w:t>
      </w:r>
      <w:r>
        <w:t xml:space="preserve"> la acierta; está en el banco de evaluación.</w:t>
      </w:r>
    </w:p>
    <w:p>
      <w:r>
        <w:rPr>
          <w:b/>
        </w:rPr>
        <w:t>Consecuencia metodológica:</w:t>
      </w:r>
      <w:r>
        <w:t xml:space="preserve"> un componente medido aislado no queda validado para su uso dentro de un agente. Queda pendiente volver a medir el RAG con las consultas que genera el modelo.</w:t>
      </w:r>
    </w:p>
    <w:p>
      <w:pPr>
        <w:pStyle w:val="Heading3"/>
      </w:pPr>
      <w:r>
        <w:t>5.3 El umbral de similitud no decide (nivel 3, se arrastra al 4)</w:t>
      </w:r>
    </w:p>
    <w:p>
      <w:r>
        <w:t>Medido sobre 18 preguntas etiquetadas: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cubiertas por el corpus   similitud top-1: 0.601 – 0.695</w:t>
        <w:br/>
        <w:t>fuera del corpus          similitud top-1: 0.608 – 0.662</w:t>
      </w:r>
    </w:p>
    <w:p>
      <w:r>
        <w:t xml:space="preserve">El rango a rechazar cae </w:t>
      </w:r>
      <w:r>
        <w:rPr>
          <w:b/>
        </w:rPr>
        <w:t>dentro</w:t>
      </w:r>
      <w:r>
        <w:t xml:space="preserve"> del rango bueno. Barrido de 0.50 a 0.75: 56% en todos los valores útiles. El coseno mide parecido temático y el corpus es monotemático. Se resolvió separando responsabilidades — el índice recupera, el modelo decide — y el juez se midió </w:t>
      </w:r>
      <w:r>
        <w:rPr>
          <w:b/>
        </w:rPr>
        <w:t>dos veces</w:t>
      </w:r>
      <w:r>
        <w:t xml:space="preserve">: la primera versión (39%) era </w:t>
      </w:r>
      <w:r>
        <w:rPr>
          <w:b/>
        </w:rPr>
        <w:t>peor que no tener juez</w:t>
      </w:r>
      <w:r>
        <w:t xml:space="preserve"> (56%); la segunda llega a 89%.</w:t>
      </w:r>
    </w:p>
    <w:p>
      <w:pPr>
        <w:pStyle w:val="Heading3"/>
      </w:pPr>
      <w:r>
        <w:t>5.4 Latencia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Consulta simple (4 pasos)</w:t>
            </w:r>
          </w:p>
        </w:tc>
        <w:tc>
          <w:tcPr>
            <w:tcW w:type="dxa" w:w="4320"/>
          </w:tcPr>
          <w:p>
            <w:r/>
            <w:r>
              <w:t>~300 s</w:t>
            </w:r>
          </w:p>
        </w:tc>
      </w:tr>
      <w:tr>
        <w:tc>
          <w:tcPr>
            <w:tcW w:type="dxa" w:w="4320"/>
          </w:tcPr>
          <w:p>
            <w:r/>
            <w:r>
              <w:t>Multipaso (6 pasos)</w:t>
            </w:r>
          </w:p>
        </w:tc>
        <w:tc>
          <w:tcPr>
            <w:tcW w:type="dxa" w:w="4320"/>
          </w:tcPr>
          <w:p>
            <w:r/>
            <w:r>
              <w:t>~843 s</w:t>
            </w:r>
          </w:p>
        </w:tc>
      </w:tr>
    </w:tbl>
    <w:p/>
    <w:p>
      <w:r>
        <w:t>Cada paso reenvía todo el historial y todos los *schemas*. Con un 3B en CPU, el nivel 4 no es utilizable de forma interactiva. Es un dato para decidir dónde aplicarlo, no un fallo del diseño.</w:t>
      </w:r>
    </w:p>
    <w:p/>
    <w:p>
      <w:pPr>
        <w:pStyle w:val="Heading2"/>
      </w:pPr>
      <w:r>
        <w:t>6. Dos desviaciones del laboratorio, justificadas</w:t>
      </w:r>
    </w:p>
    <w:p>
      <w:r>
        <w:rPr>
          <w:b/>
        </w:rPr>
        <w:t>La sesión MCP se mantiene abierta durante todo el bucle.</w:t>
      </w:r>
      <w:r>
        <w:t xml:space="preserve"> El ejemplo abre una por llamada; ahí vale porque su servidor es ligero. El nuestro arranca Django entero, así que abrir y cerrar por acción costaría varios segundos cada vez. Se resolvió con un hilo con su propio bucle de eventos.</w:t>
      </w:r>
    </w:p>
    <w:p>
      <w:r>
        <w:rPr>
          <w:b/>
        </w:rPr>
        <w:t>El SDK cambió de nombres entre versiones.</w:t>
      </w:r>
      <w:r>
        <w:t xml:space="preserve"> </w:t>
      </w:r>
      <w:r>
        <w:rPr>
          <w:rFonts w:ascii="Consolas" w:hAnsi="Consolas"/>
          <w:sz w:val="19"/>
        </w:rPr>
        <w:t>FastMCP</w:t>
      </w:r>
      <w:r>
        <w:t xml:space="preserve"> → </w:t>
      </w:r>
      <w:r>
        <w:rPr>
          <w:rFonts w:ascii="Consolas" w:hAnsi="Consolas"/>
          <w:sz w:val="19"/>
        </w:rPr>
        <w:t>MCPServer</w:t>
      </w:r>
      <w:r>
        <w:t xml:space="preserve">, e </w:t>
      </w:r>
      <w:r>
        <w:rPr>
          <w:rFonts w:ascii="Consolas" w:hAnsi="Consolas"/>
          <w:sz w:val="19"/>
        </w:rPr>
        <w:t>inputSchema</w:t>
      </w:r>
      <w:r>
        <w:t xml:space="preserve"> → </w:t>
      </w:r>
      <w:r>
        <w:rPr>
          <w:rFonts w:ascii="Consolas" w:hAnsi="Consolas"/>
          <w:sz w:val="19"/>
        </w:rPr>
        <w:t>input_schema</w:t>
      </w:r>
      <w:r>
        <w:t>. Se prueban ambas formas en vez de fijar una versión.</w:t>
      </w:r>
    </w:p>
    <w:p/>
    <w:p>
      <w:pPr>
        <w:pStyle w:val="Heading2"/>
      </w:pPr>
      <w:r>
        <w:t>7. Qué falta</w:t>
      </w:r>
    </w:p>
    <w:p>
      <w:pPr>
        <w:pStyle w:val="ListNumber"/>
      </w:pPr>
      <w:r>
        <w:rPr>
          <w:b/>
        </w:rPr>
        <w:t>Volver a medir el RAG con consultas generadas por el agente</w:t>
      </w:r>
      <w:r>
        <w:t xml:space="preserve"> (§5.2). Es el</w:t>
      </w:r>
    </w:p>
    <w:p>
      <w:r>
        <w:t xml:space="preserve">   hueco metodológico más importante.</w:t>
      </w:r>
    </w:p>
    <w:p>
      <w:pPr>
        <w:pStyle w:val="ListNumber"/>
      </w:pPr>
      <w:r>
        <w:rPr>
          <w:b/>
        </w:rPr>
        <w:t>Paso 6 del pipeline RAG</w:t>
      </w:r>
      <w:r>
        <w:t>: sugerencias basadas en similitud.</w:t>
      </w:r>
    </w:p>
    <w:p>
      <w:pPr>
        <w:pStyle w:val="ListNumber"/>
      </w:pPr>
      <w:r>
        <w:rPr>
          <w:b/>
        </w:rPr>
        <w:t>Volver a medir el enrutador</w:t>
      </w:r>
      <w:r>
        <w:t>: las 6 preguntas de documentación del banco</w:t>
      </w:r>
    </w:p>
    <w:p>
      <w:r>
        <w:t xml:space="preserve">   de 56 que antes caían en «no sé» deberían resolverse ahora. El «antes» ya    está medido (48/56).</w:t>
      </w:r>
    </w:p>
    <w:p>
      <w:pPr>
        <w:pStyle w:val="ListNumber"/>
      </w:pPr>
      <w:r>
        <w:t>Aplicar el patrón a los otros módulos troncales.</w:t>
      </w:r>
    </w:p>
    <w:p/>
    <w:p>
      <w:pPr>
        <w:pStyle w:val="Heading2"/>
      </w:pPr>
      <w:r>
        <w:t>8. Cómo reproducirlo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br/>
        <w:t>python cliente_mcp.py                    # descubre las 6 por protocolo</w:t>
        <w:br/>
        <w:t>python cliente_mcp.py casos_reportados   # las llama sin importar Django</w:t>
        <w:br/>
        <w:br/>
        <w:t>python manage.py demo_agente             # 3 casos con la traza a la vista</w:t>
        <w:br/>
        <w:t>python manage.py demo_agente --mcp       # el MISMO bucle con tools descubiertas</w:t>
        <w:br/>
        <w:br/>
        <w:t># el endpoint</w:t>
        <w:br/>
        <w:t>POST /api/clinic/agente/  {"pregunta": "...", "mcp": false}</w:t>
      </w:r>
    </w:p>
    <w:p>
      <w:r>
        <w:rPr>
          <w:b/>
        </w:rPr>
        <w:t>44 tests verdes.</w:t>
      </w:r>
      <w:r>
        <w:t xml:space="preserve"> Requiere Ollama corriendo con </w:t>
      </w:r>
      <w:r>
        <w:rPr>
          <w:rFonts w:ascii="Consolas" w:hAnsi="Consolas"/>
          <w:sz w:val="19"/>
        </w:rPr>
        <w:t>llama3.2:3b</w:t>
      </w:r>
      <w:r>
        <w:t xml:space="preserve"> y </w:t>
      </w:r>
      <w:r>
        <w:rPr>
          <w:rFonts w:ascii="Consolas" w:hAnsi="Consolas"/>
          <w:sz w:val="19"/>
        </w:rPr>
        <w:t>nomic-embed-text</w:t>
      </w:r>
      <w:r>
        <w:t>; el índice del RAG ya está versionado en 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