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Alcance</w:t>
            </w:r>
          </w:p>
        </w:tc>
        <w:tc>
          <w:tcPr>
            <w:tcW w:type="dxa" w:w="1440"/>
          </w:tcPr>
          <w:p>
            <w:r>
              <w:rPr>
                <w:b/>
              </w:rPr>
            </w:r>
            <w:r>
              <w:rPr>
                <w:b/>
              </w:rPr>
              <w:t>Antes</w:t>
            </w:r>
          </w:p>
        </w:tc>
        <w:tc>
          <w:tcPr>
            <w:tcW w:type="dxa" w:w="1440"/>
          </w:tcPr>
          <w:p>
            <w:r>
              <w:rPr>
                <w:b/>
              </w:rPr>
            </w:r>
            <w:r>
              <w:rPr>
                <w:b/>
              </w:rPr>
              <w:t>Actividad 2</w:t>
            </w:r>
          </w:p>
        </w:tc>
        <w:tc>
          <w:tcPr>
            <w:tcW w:type="dxa" w:w="1440"/>
          </w:tcPr>
          <w:p>
            <w:r>
              <w:rPr>
                <w:b/>
              </w:rPr>
            </w:r>
            <w:r>
              <w:rPr>
                <w:b/>
              </w:rPr>
              <w:t>Cierre de frontera</w:t>
            </w:r>
          </w:p>
        </w:tc>
        <w:tc>
          <w:tcPr>
            <w:tcW w:type="dxa" w:w="1440"/>
          </w:tcPr>
          <w:p>
            <w:r>
              <w:rPr>
                <w:b/>
              </w:rPr>
            </w:r>
            <w:r>
              <w:rPr>
                <w:b/>
              </w:rPr>
              <w:t>Contrato de errores</w:t>
            </w:r>
          </w:p>
        </w:tc>
        <w:tc>
          <w:tcPr>
            <w:tcW w:type="dxa" w:w="1440"/>
          </w:tcPr>
          <w:p>
            <w:r>
              <w:rPr>
                <w:b/>
              </w:rPr>
            </w:r>
            <w:r>
              <w:rPr>
                <w:b/>
              </w:rPr>
              <w:t>Δ total</w:t>
            </w:r>
          </w:p>
        </w:tc>
      </w:tr>
      <w:tr>
        <w:tc>
          <w:tcPr>
            <w:tcW w:type="dxa" w:w="1440"/>
          </w:tcPr>
          <w:p>
            <w:r/>
            <w:r>
              <w:t xml:space="preserve">Lo que reporta </w:t>
            </w:r>
            <w:r>
              <w:rPr>
                <w:rFonts w:ascii="Consolas" w:hAnsi="Consolas"/>
                <w:sz w:val="19"/>
              </w:rPr>
              <w:t>pytest-cov</w:t>
            </w:r>
          </w:p>
        </w:tc>
        <w:tc>
          <w:tcPr>
            <w:tcW w:type="dxa" w:w="1440"/>
          </w:tcPr>
          <w:p>
            <w:r/>
            <w:r>
              <w:t>82,25 %</w:t>
            </w:r>
          </w:p>
        </w:tc>
        <w:tc>
          <w:tcPr>
            <w:tcW w:type="dxa" w:w="1440"/>
          </w:tcPr>
          <w:p>
            <w:r/>
            <w:r>
              <w:t>84,04 %</w:t>
            </w:r>
          </w:p>
        </w:tc>
        <w:tc>
          <w:tcPr>
            <w:tcW w:type="dxa" w:w="1440"/>
          </w:tcPr>
          <w:p>
            <w:r/>
            <w:r>
              <w:t>86,00 %</w:t>
            </w:r>
          </w:p>
        </w:tc>
        <w:tc>
          <w:tcPr>
            <w:tcW w:type="dxa" w:w="1440"/>
          </w:tcPr>
          <w:p>
            <w:r/>
            <w:r>
              <w:t>86,82 %</w:t>
            </w:r>
          </w:p>
        </w:tc>
        <w:tc>
          <w:tcPr>
            <w:tcW w:type="dxa" w:w="1440"/>
          </w:tcPr>
          <w:p>
            <w:r/>
            <w:r>
              <w:t>+4,57 pp</w:t>
            </w:r>
          </w:p>
        </w:tc>
      </w:tr>
      <w:tr>
        <w:tc>
          <w:tcPr>
            <w:tcW w:type="dxa" w:w="1440"/>
          </w:tcPr>
          <w:p>
            <w:r/>
            <w:r>
              <w:t>Sin ficheros de test</w:t>
            </w:r>
          </w:p>
        </w:tc>
        <w:tc>
          <w:tcPr>
            <w:tcW w:type="dxa" w:w="1440"/>
          </w:tcPr>
          <w:p>
            <w:r/>
            <w:r>
              <w:t>65,41 %</w:t>
            </w:r>
          </w:p>
        </w:tc>
        <w:tc>
          <w:tcPr>
            <w:tcW w:type="dxa" w:w="1440"/>
          </w:tcPr>
          <w:p>
            <w:r/>
            <w:r>
              <w:t>—</w:t>
            </w:r>
          </w:p>
        </w:tc>
        <w:tc>
          <w:tcPr>
            <w:tcW w:type="dxa" w:w="1440"/>
          </w:tcPr>
          <w:p>
            <w:r/>
            <w:r>
              <w:t>—</w:t>
            </w:r>
          </w:p>
        </w:tc>
        <w:tc>
          <w:tcPr>
            <w:tcW w:type="dxa" w:w="1440"/>
          </w:tcPr>
          <w:p>
            <w:r/>
            <w:r>
              <w:t>—</w:t>
            </w:r>
          </w:p>
        </w:tc>
        <w:tc>
          <w:tcPr>
            <w:tcW w:type="dxa" w:w="1440"/>
          </w:tcPr>
          <w:p>
            <w:r/>
            <w:r>
              <w:t>—</w:t>
            </w:r>
          </w:p>
        </w:tc>
      </w:tr>
      <w:tr>
        <w:tc>
          <w:tcPr>
            <w:tcW w:type="dxa" w:w="1440"/>
          </w:tcPr>
          <w:p>
            <w:r/>
            <w:r>
              <w:rPr>
                <w:b/>
              </w:rPr>
              <w:t>Código de producción</w:t>
            </w:r>
            <w:r>
              <w:t xml:space="preserve"> (sin tests ni CLI)</w:t>
            </w:r>
          </w:p>
        </w:tc>
        <w:tc>
          <w:tcPr>
            <w:tcW w:type="dxa" w:w="1440"/>
          </w:tcPr>
          <w:p>
            <w:r/>
            <w:r>
              <w:rPr>
                <w:b/>
              </w:rPr>
              <w:t>85,63 %</w:t>
            </w:r>
          </w:p>
        </w:tc>
        <w:tc>
          <w:tcPr>
            <w:tcW w:type="dxa" w:w="1440"/>
          </w:tcPr>
          <w:p>
            <w:r/>
            <w:r>
              <w:rPr>
                <w:b/>
              </w:rPr>
              <w:t>88,60 %</w:t>
            </w:r>
          </w:p>
        </w:tc>
        <w:tc>
          <w:tcPr>
            <w:tcW w:type="dxa" w:w="1440"/>
          </w:tcPr>
          <w:p>
            <w:r/>
            <w:r>
              <w:rPr>
                <w:b/>
              </w:rPr>
              <w:t>91,74 %</w:t>
            </w:r>
          </w:p>
        </w:tc>
        <w:tc>
          <w:tcPr>
            <w:tcW w:type="dxa" w:w="1440"/>
          </w:tcPr>
          <w:p>
            <w:r/>
            <w:r>
              <w:rPr>
                <w:b/>
              </w:rPr>
              <w:t>93,38 %</w:t>
            </w:r>
          </w:p>
        </w:tc>
        <w:tc>
          <w:tcPr>
            <w:tcW w:type="dxa" w:w="1440"/>
          </w:tcPr>
          <w:p>
            <w:r/>
            <w:r>
              <w:rPr>
                <w:b/>
              </w:rPr>
              <w:t>+7,75 pp</w:t>
            </w:r>
          </w:p>
        </w:tc>
      </w:tr>
    </w:tbl>
    <w:p/>
    <w:p>
      <w:pPr>
        <w:spacing w:after="200"/>
        <w:ind w:left="280"/>
      </w:pPr>
      <w:r>
        <w:rPr>
          <w:rFonts w:ascii="Consolas" w:hAnsi="Consolas"/>
          <w:color w:val="1F2A37"/>
          <w:sz w:val="17"/>
        </w:rPr>
        <w:t>antes     46 ficheros · 2.798 sentencias · 2.396 cubiertas</w:t>
        <w:br/>
        <w:t>act. 2    47 ficheros · 2.806 sentencias · 2.486 cubiertas</w:t>
        <w:br/>
        <w:t>cierre    47 ficheros · 2.809 sentencias · 2.577 cubiertas</w:t>
        <w:br/>
        <w:t>contrato  47 ficheros · 2.809 sentencias · 2.623 cubiertas</w:t>
        <w:br/>
        <w:t>tests     627  →  663  →  724  →  784   (+157)</w:t>
      </w:r>
    </w:p>
    <w:p>
      <w:r>
        <w:rPr>
          <w:b/>
        </w:rPr>
        <w:t>Con el cierre, el código de producción del clínico pasa el 90 % que exige RN-09</w:t>
      </w:r>
      <w:r>
        <w:t xml:space="preserve"> (91,74 %), y con el contrato de errores llega al 93,38 %. Las tres sentencias que aparecen de más entre la Actividad 2 y el cierre son el guard que se añadió a </w:t>
      </w:r>
      <w:r>
        <w:rPr>
          <w:rFonts w:ascii="Consolas" w:hAnsi="Consolas"/>
          <w:sz w:val="19"/>
        </w:rPr>
        <w:t>agente_acciones.ejecutar</w:t>
      </w:r>
      <w:r>
        <w:t xml:space="preserve"> — ver §4.</w:t>
      </w:r>
    </w:p>
    <w:p>
      <w:r>
        <w:t>Reproducible con:</w:t>
      </w:r>
    </w:p>
    <w:p>
      <w:pPr>
        <w:spacing w:after="200"/>
        <w:ind w:left="280"/>
      </w:pPr>
      <w:r>
        <w:rPr>
          <w:rFonts w:ascii="Consolas" w:hAnsi="Consolas"/>
          <w:color w:val="1F2A37"/>
          <w:sz w:val="17"/>
        </w:rPr>
        <w:t>cd backend-clinic</w:t>
        <w:br/>
        <w:t>.venv/Scripts/python -m pytest --cov=. --cov-report=json:cov.json --cov-fail-under=0</w:t>
        <w:br/>
        <w:t>.venv/Scripts/python scripts/cobertura_produccion.py cov.json apps/</w:t>
      </w:r>
    </w:p>
    <w:p>
      <w:r>
        <w:t xml:space="preserve">El segundo argumento acota el agregado a </w:t>
      </w:r>
      <w:r>
        <w:rPr>
          <w:rFonts w:ascii="Consolas" w:hAnsi="Consolas"/>
          <w:sz w:val="19"/>
        </w:rPr>
        <w:t>apps/</w:t>
      </w:r>
      <w:r>
        <w:t xml:space="preserve">, que es el alcance de las mediciones anteriores: deja fuera </w:t>
      </w:r>
      <w:r>
        <w:rPr>
          <w:rFonts w:ascii="Consolas" w:hAnsi="Consolas"/>
          <w:sz w:val="19"/>
        </w:rPr>
        <w:t>manage.py</w:t>
      </w:r>
      <w:r>
        <w:t xml:space="preserve">, </w:t>
      </w:r>
      <w:r>
        <w:rPr>
          <w:rFonts w:ascii="Consolas" w:hAnsi="Consolas"/>
          <w:sz w:val="19"/>
        </w:rPr>
        <w:t>wsgi/asgi</w:t>
      </w:r>
      <w:r>
        <w:t xml:space="preserve"> y los dos guiones MCP sueltos, que no son código de dominio. Los porcentajes por fichero no dependen de ese recorte; lo que cambia es sobre qué población se suman.</w:t>
      </w:r>
    </w:p>
    <w:p>
      <w:pPr>
        <w:pStyle w:val="Heading3"/>
      </w:pPr>
      <w:r>
        <w:t>Los huecos que la medición encontró</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Sentencias que faltaban</w:t>
            </w:r>
          </w:p>
        </w:tc>
      </w:tr>
      <w:tr>
        <w:tc>
          <w:tcPr>
            <w:tcW w:type="dxa" w:w="2160"/>
          </w:tcPr>
          <w:p>
            <w:r/>
            <w:r>
              <w:rPr>
                <w:b/>
              </w:rPr>
              <w:t>`rag_qa.py`</w:t>
            </w:r>
          </w:p>
        </w:tc>
        <w:tc>
          <w:tcPr>
            <w:tcW w:type="dxa" w:w="2160"/>
          </w:tcPr>
          <w:p>
            <w:r/>
            <w:r>
              <w:rPr>
                <w:b/>
              </w:rPr>
              <w:t>0,0 %</w:t>
            </w:r>
          </w:p>
        </w:tc>
        <w:tc>
          <w:tcPr>
            <w:tcW w:type="dxa" w:w="2160"/>
          </w:tcPr>
          <w:p>
            <w:r/>
            <w:r>
              <w:rPr>
                <w:b/>
              </w:rPr>
              <w:t>100 %</w:t>
            </w:r>
          </w:p>
        </w:tc>
        <w:tc>
          <w:tcPr>
            <w:tcW w:type="dxa" w:w="2160"/>
          </w:tcPr>
          <w:p>
            <w:r/>
            <w:r>
              <w:rPr>
                <w:b/>
              </w:rPr>
              <w:t>62</w:t>
            </w:r>
          </w:p>
        </w:tc>
      </w:tr>
      <w:tr>
        <w:tc>
          <w:tcPr>
            <w:tcW w:type="dxa" w:w="2160"/>
          </w:tcPr>
          <w:p>
            <w:r/>
            <w:r>
              <w:rPr>
                <w:rFonts w:ascii="Consolas" w:hAnsi="Consolas"/>
                <w:sz w:val="19"/>
              </w:rPr>
              <w:t>rag_index.py</w:t>
            </w:r>
          </w:p>
        </w:tc>
        <w:tc>
          <w:tcPr>
            <w:tcW w:type="dxa" w:w="2160"/>
          </w:tcPr>
          <w:p>
            <w:r/>
            <w:r>
              <w:t>37,8 %</w:t>
            </w:r>
          </w:p>
        </w:tc>
        <w:tc>
          <w:tcPr>
            <w:tcW w:type="dxa" w:w="2160"/>
          </w:tcPr>
          <w:p>
            <w:r/>
            <w:r>
              <w:rPr>
                <w:b/>
              </w:rPr>
              <w:t>100 %</w:t>
            </w:r>
          </w:p>
        </w:tc>
        <w:tc>
          <w:tcPr>
            <w:tcW w:type="dxa" w:w="2160"/>
          </w:tcPr>
          <w:p>
            <w:r/>
            <w:r>
              <w:t>51</w:t>
            </w:r>
          </w:p>
        </w:tc>
      </w:tr>
      <w:tr>
        <w:tc>
          <w:tcPr>
            <w:tcW w:type="dxa" w:w="2160"/>
          </w:tcPr>
          <w:p>
            <w:r/>
            <w:r>
              <w:rPr>
                <w:rFonts w:ascii="Consolas" w:hAnsi="Consolas"/>
                <w:sz w:val="19"/>
              </w:rPr>
              <w:t>agente_acciones.py</w:t>
            </w:r>
          </w:p>
        </w:tc>
        <w:tc>
          <w:tcPr>
            <w:tcW w:type="dxa" w:w="2160"/>
          </w:tcPr>
          <w:p>
            <w:r/>
            <w:r>
              <w:t>40,7 %</w:t>
            </w:r>
          </w:p>
        </w:tc>
        <w:tc>
          <w:tcPr>
            <w:tcW w:type="dxa" w:w="2160"/>
          </w:tcPr>
          <w:p>
            <w:r/>
            <w:r>
              <w:rPr>
                <w:b/>
              </w:rPr>
              <w:t>100 %</w:t>
            </w:r>
          </w:p>
        </w:tc>
        <w:tc>
          <w:tcPr>
            <w:tcW w:type="dxa" w:w="2160"/>
          </w:tcPr>
          <w:p>
            <w:r/>
            <w:r>
              <w:t>16</w:t>
            </w:r>
          </w:p>
        </w:tc>
      </w:tr>
      <w:tr>
        <w:tc>
          <w:tcPr>
            <w:tcW w:type="dxa" w:w="2160"/>
          </w:tcPr>
          <w:p>
            <w:r/>
            <w:r>
              <w:rPr>
                <w:rFonts w:ascii="Consolas" w:hAnsi="Consolas"/>
                <w:sz w:val="19"/>
              </w:rPr>
              <w:t>admin_client.py</w:t>
            </w:r>
          </w:p>
        </w:tc>
        <w:tc>
          <w:tcPr>
            <w:tcW w:type="dxa" w:w="2160"/>
          </w:tcPr>
          <w:p>
            <w:r/>
            <w:r>
              <w:t>52,9 %</w:t>
            </w:r>
          </w:p>
        </w:tc>
        <w:tc>
          <w:tcPr>
            <w:tcW w:type="dxa" w:w="2160"/>
          </w:tcPr>
          <w:p>
            <w:r/>
            <w:r>
              <w:rPr>
                <w:b/>
              </w:rPr>
              <w:t>100 %</w:t>
            </w:r>
          </w:p>
        </w:tc>
        <w:tc>
          <w:tcPr>
            <w:tcW w:type="dxa" w:w="2160"/>
          </w:tcPr>
          <w:p>
            <w:r/>
            <w:r>
              <w:t>16</w:t>
            </w:r>
          </w:p>
        </w:tc>
      </w:tr>
      <w:tr>
        <w:tc>
          <w:tcPr>
            <w:tcW w:type="dxa" w:w="2160"/>
          </w:tcPr>
          <w:p>
            <w:r/>
            <w:r>
              <w:rPr>
                <w:rFonts w:ascii="Consolas" w:hAnsi="Consolas"/>
                <w:sz w:val="19"/>
              </w:rPr>
              <w:t>pipeline_client.py</w:t>
            </w:r>
          </w:p>
        </w:tc>
        <w:tc>
          <w:tcPr>
            <w:tcW w:type="dxa" w:w="2160"/>
          </w:tcPr>
          <w:p>
            <w:r/>
            <w:r>
              <w:t>67,5 %</w:t>
            </w:r>
          </w:p>
        </w:tc>
        <w:tc>
          <w:tcPr>
            <w:tcW w:type="dxa" w:w="2160"/>
          </w:tcPr>
          <w:p>
            <w:r/>
            <w:r>
              <w:rPr>
                <w:b/>
              </w:rPr>
              <w:t>100 %</w:t>
            </w:r>
          </w:p>
        </w:tc>
        <w:tc>
          <w:tcPr>
            <w:tcW w:type="dxa" w:w="216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 Los cinco quedan cerrados: 170 sentencias que antes nadie ejercitaba.</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 El detector está versionado en [</w:t>
      </w:r>
      <w:r>
        <w:rPr>
          <w:rFonts w:ascii="Consolas" w:hAnsi="Consolas"/>
          <w:sz w:val="19"/>
        </w:rPr>
        <w:t>scripts/detectar_duplicados.py</w:t>
      </w:r>
      <w:r>
        <w:t>](../scripts/detectar_duplicados.py) y se vuelve a correr sin argumentos:</w:t>
      </w:r>
    </w:p>
    <w:p>
      <w:pPr>
        <w:spacing w:after="200"/>
        <w:ind w:left="280"/>
      </w:pPr>
      <w:r>
        <w:rPr>
          <w:rFonts w:ascii="Consolas" w:hAnsi="Consolas"/>
          <w:color w:val="1F2A37"/>
          <w:sz w:val="17"/>
        </w:rPr>
        <w:t>python scripts/detectar_duplicados.py</w:t>
      </w:r>
    </w:p>
    <w:p>
      <w:r>
        <w:t>Se volvió a correr tras cada tanda —</w:t>
      </w:r>
      <w:r>
        <w:rPr>
          <w:b/>
        </w:rPr>
        <w:t>897</w:t>
      </w:r>
      <w:r>
        <w:t xml:space="preserve"> tests con assert tras el cierre de frontera, </w:t>
      </w:r>
      <w:r>
        <w:rPr>
          <w:b/>
        </w:rPr>
        <w:t>917</w:t>
      </w:r>
      <w:r>
        <w:t xml:space="preserve"> tras el contrato de errores— y devolvió 0 grupos las dos veces (§6).</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con su motivo</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Subtotal Actividad 2</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r>
        <w:tc>
          <w:tcPr>
            <w:tcW w:type="dxa" w:w="1728"/>
          </w:tcPr>
          <w:p>
            <w:r/>
            <w:r>
              <w:t>Unit — frontera MFA</w:t>
            </w:r>
          </w:p>
        </w:tc>
        <w:tc>
          <w:tcPr>
            <w:tcW w:type="dxa" w:w="1728"/>
          </w:tcPr>
          <w:p>
            <w:r/>
            <w:r>
              <w:t>10</w:t>
            </w:r>
          </w:p>
        </w:tc>
        <w:tc>
          <w:tcPr>
            <w:tcW w:type="dxa" w:w="1728"/>
          </w:tcPr>
          <w:p>
            <w:r/>
            <w:r>
              <w:rPr>
                <w:b/>
              </w:rPr>
              <w:t>10</w:t>
            </w:r>
          </w:p>
        </w:tc>
        <w:tc>
          <w:tcPr>
            <w:tcW w:type="dxa" w:w="1728"/>
          </w:tcPr>
          <w:p>
            <w:r/>
            <w:r>
              <w:t>0</w:t>
            </w:r>
          </w:p>
        </w:tc>
        <w:tc>
          <w:tcPr>
            <w:tcW w:type="dxa" w:w="1728"/>
          </w:tcPr>
          <w:p>
            <w:r/>
            <w:r>
              <w:rPr>
                <w:rFonts w:ascii="Consolas" w:hAnsi="Consolas"/>
                <w:sz w:val="19"/>
              </w:rPr>
              <w:t>test_admin_client.py</w:t>
            </w:r>
          </w:p>
        </w:tc>
      </w:tr>
      <w:tr>
        <w:tc>
          <w:tcPr>
            <w:tcW w:type="dxa" w:w="1728"/>
          </w:tcPr>
          <w:p>
            <w:r/>
            <w:r>
              <w:t>Unit — frontera backend-ml</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test_pipeline_client.py</w:t>
            </w:r>
            <w:r>
              <w:t xml:space="preserve"> (ampliado)</w:t>
            </w:r>
          </w:p>
        </w:tc>
      </w:tr>
      <w:tr>
        <w:tc>
          <w:tcPr>
            <w:tcW w:type="dxa" w:w="1728"/>
          </w:tcPr>
          <w:p>
            <w:r/>
            <w:r>
              <w:t>Unit — despachador del agente</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test_agente_acciones.py</w:t>
            </w:r>
          </w:p>
        </w:tc>
      </w:tr>
      <w:tr>
        <w:tc>
          <w:tcPr>
            <w:tcW w:type="dxa" w:w="1728"/>
          </w:tcPr>
          <w:p>
            <w:r/>
            <w:r>
              <w:t>Unit — índice y embeddings</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test_rag_index.py</w:t>
            </w:r>
          </w:p>
        </w:tc>
      </w:tr>
      <w:tr>
        <w:tc>
          <w:tcPr>
            <w:tcW w:type="dxa" w:w="1728"/>
          </w:tcPr>
          <w:p>
            <w:r/>
            <w:r>
              <w:rPr>
                <w:b/>
              </w:rPr>
              <w:t>Subtotal cierre de huecos</w:t>
            </w:r>
          </w:p>
        </w:tc>
        <w:tc>
          <w:tcPr>
            <w:tcW w:type="dxa" w:w="1728"/>
          </w:tcPr>
          <w:p>
            <w:r/>
            <w:r>
              <w:rPr>
                <w:b/>
              </w:rPr>
              <w:t>61</w:t>
            </w:r>
          </w:p>
        </w:tc>
        <w:tc>
          <w:tcPr>
            <w:tcW w:type="dxa" w:w="1728"/>
          </w:tcPr>
          <w:p>
            <w:r/>
            <w:r>
              <w:rPr>
                <w:b/>
              </w:rPr>
              <w:t>61</w:t>
            </w:r>
          </w:p>
        </w:tc>
        <w:tc>
          <w:tcPr>
            <w:tcW w:type="dxa" w:w="1728"/>
          </w:tcPr>
          <w:p>
            <w:r/>
            <w:r>
              <w:t>—</w:t>
            </w:r>
          </w:p>
        </w:tc>
        <w:tc>
          <w:tcPr>
            <w:tcW w:type="dxa" w:w="1728"/>
          </w:tcPr>
          <w:p>
            <w:r/>
          </w:p>
        </w:tc>
      </w:tr>
      <w:tr>
        <w:tc>
          <w:tcPr>
            <w:tcW w:type="dxa" w:w="1728"/>
          </w:tcPr>
          <w:p>
            <w:r/>
            <w:r>
              <w:t>Contrato — errores de los endpoints</w:t>
            </w:r>
          </w:p>
        </w:tc>
        <w:tc>
          <w:tcPr>
            <w:tcW w:type="dxa" w:w="1728"/>
          </w:tcPr>
          <w:p>
            <w:r/>
            <w:r>
              <w:t>60</w:t>
            </w:r>
          </w:p>
        </w:tc>
        <w:tc>
          <w:tcPr>
            <w:tcW w:type="dxa" w:w="1728"/>
          </w:tcPr>
          <w:p>
            <w:r/>
            <w:r>
              <w:rPr>
                <w:b/>
              </w:rPr>
              <w:t>60</w:t>
            </w:r>
          </w:p>
        </w:tc>
        <w:tc>
          <w:tcPr>
            <w:tcW w:type="dxa" w:w="1728"/>
          </w:tcPr>
          <w:p>
            <w:r/>
            <w:r>
              <w:t>12 corregidos en auditoría</w:t>
            </w:r>
          </w:p>
        </w:tc>
        <w:tc>
          <w:tcPr>
            <w:tcW w:type="dxa" w:w="1728"/>
          </w:tcPr>
          <w:p>
            <w:r/>
            <w:r>
              <w:rPr>
                <w:rFonts w:ascii="Consolas" w:hAnsi="Consolas"/>
                <w:sz w:val="19"/>
              </w:rPr>
              <w:t>test_contrato_errores_endpoints.py</w:t>
            </w:r>
          </w:p>
        </w:tc>
      </w:tr>
      <w:tr>
        <w:tc>
          <w:tcPr>
            <w:tcW w:type="dxa" w:w="1728"/>
          </w:tcPr>
          <w:p>
            <w:r/>
            <w:r>
              <w:rPr>
                <w:b/>
              </w:rPr>
              <w:t>Total</w:t>
            </w:r>
          </w:p>
        </w:tc>
        <w:tc>
          <w:tcPr>
            <w:tcW w:type="dxa" w:w="1728"/>
          </w:tcPr>
          <w:p>
            <w:r/>
            <w:r>
              <w:rPr>
                <w:b/>
              </w:rPr>
              <w:t>157</w:t>
            </w:r>
          </w:p>
        </w:tc>
        <w:tc>
          <w:tcPr>
            <w:tcW w:type="dxa" w:w="1728"/>
          </w:tcPr>
          <w:p>
            <w:r/>
            <w:r>
              <w:rPr>
                <w:b/>
              </w:rPr>
              <w:t>157</w:t>
            </w:r>
          </w:p>
        </w:tc>
        <w:tc>
          <w:tcPr>
            <w:tcW w:type="dxa" w:w="1728"/>
          </w:tcPr>
          <w:p>
            <w:r/>
            <w:r>
              <w:t>—</w:t>
            </w:r>
          </w:p>
        </w:tc>
        <w:tc>
          <w:tcPr>
            <w:tcW w:type="dxa" w:w="1728"/>
          </w:tcPr>
          <w:p>
            <w:r/>
          </w:p>
        </w:tc>
      </w:tr>
    </w:tbl>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Pr>
        <w:pStyle w:val="Heading3"/>
      </w:pPr>
      <w:r>
        <w:t>Cierre — los cuatro huecos que quedaban</w:t>
      </w:r>
    </w:p>
    <w:p>
      <w:r>
        <w:t xml:space="preserve">Los cuatro estaban en la misma frontera y admitían el mismo tratamiento que </w:t>
      </w:r>
      <w:r>
        <w:rPr>
          <w:rFonts w:ascii="Consolas" w:hAnsi="Consolas"/>
          <w:sz w:val="19"/>
        </w:rPr>
        <w:t>rag_qa.py</w:t>
      </w:r>
      <w:r>
        <w:t>: doblar la red y el disco, dejar real todo lo demás.</w:t>
      </w:r>
    </w:p>
    <w:p>
      <w:r>
        <w:rPr>
          <w:b/>
        </w:rPr>
        <w:t>`test_admin_client.py` (10)</w:t>
      </w:r>
      <w:r>
        <w:t xml:space="preserve"> — la verificación MFA de la firma del supervisor, que es un acto de cumplimiento 21 CFR Part 11. La prueba que más pesa es </w:t>
      </w:r>
      <w:r>
        <w:rPr>
          <w:rFonts w:ascii="Consolas" w:hAnsi="Consolas"/>
          <w:sz w:val="19"/>
        </w:rPr>
        <w:t>test_ninguna_caida_se_traduce_en_veredicto</w:t>
      </w:r>
      <w:r>
        <w:t xml:space="preserve">: pase lo que pase en la red sale </w:t>
      </w:r>
      <w:r>
        <w:rPr>
          <w:rFonts w:ascii="Consolas" w:hAnsi="Consolas"/>
          <w:sz w:val="19"/>
        </w:rPr>
        <w:t>MfaServiceError</w:t>
      </w:r>
      <w:r>
        <w:t xml:space="preserve">, nunca un veredicto inventado. Degradar a </w:t>
      </w:r>
      <w:r>
        <w:rPr>
          <w:rFonts w:ascii="Consolas" w:hAnsi="Consolas"/>
          <w:sz w:val="19"/>
        </w:rPr>
        <w:t>valid: True</w:t>
      </w:r>
      <w:r>
        <w:t xml:space="preserve"> sería firmar sin segundo factor; degradar a </w:t>
      </w:r>
      <w:r>
        <w:rPr>
          <w:rFonts w:ascii="Consolas" w:hAnsi="Consolas"/>
          <w:sz w:val="19"/>
        </w:rPr>
        <w:t>valid: False</w:t>
      </w:r>
      <w:r>
        <w:t xml:space="preserve"> en silencio haría creer al supervisor que su código está mal cuando el problema es que backend-admin está caído. El contador del circuito cuenta fallos </w:t>
      </w:r>
      <w:r>
        <w:rPr>
          <w:b/>
        </w:rPr>
        <w:t>seguidos</w:t>
      </w:r>
      <w:r>
        <w:t xml:space="preserve">: </w:t>
      </w:r>
      <w:r>
        <w:rPr>
          <w:rFonts w:ascii="Consolas" w:hAnsi="Consolas"/>
          <w:sz w:val="19"/>
        </w:rPr>
        <w:t>test_un_mfa_invalido_no_cuenta_como_fallo_del_servicio</w:t>
      </w:r>
      <w:r>
        <w:t xml:space="preserve"> fija que un supervisor tecleando mal tres veces no deja sin firmar a todo el laboratorio.</w:t>
      </w:r>
    </w:p>
    <w:p>
      <w:r>
        <w:rPr>
          <w:b/>
        </w:rPr>
        <w:t>`test_pipeline_client.py` (+17)</w:t>
      </w:r>
      <w:r>
        <w:t xml:space="preserve"> — </w:t>
      </w:r>
      <w:r>
        <w:rPr>
          <w:rFonts w:ascii="Consolas" w:hAnsi="Consolas"/>
          <w:sz w:val="19"/>
        </w:rPr>
        <w:t>segment_image</w:t>
      </w:r>
      <w:r>
        <w:t xml:space="preserve">, </w:t>
      </w:r>
      <w:r>
        <w:rPr>
          <w:rFonts w:ascii="Consolas" w:hAnsi="Consolas"/>
          <w:sz w:val="19"/>
        </w:rPr>
        <w:t>xai_heatmap</w:t>
      </w:r>
      <w:r>
        <w:t xml:space="preserve"> y </w:t>
      </w:r>
      <w:r>
        <w:rPr>
          <w:rFonts w:ascii="Consolas" w:hAnsi="Consolas"/>
          <w:sz w:val="19"/>
        </w:rPr>
        <w:t>classify_crop</w:t>
      </w:r>
      <w:r>
        <w:t xml:space="preserve"> comparten estructura, así que se prueban con </w:t>
      </w:r>
      <w:r>
        <w:rPr>
          <w:b/>
        </w:rPr>
        <w:t>una batería parametrizada</w:t>
      </w:r>
      <w:r>
        <w:t xml:space="preserve"> en lugar de tres bloques copiados: mañana se añade una fila, no un bloque. Se afirma el suelo de timeout (30 s y 60 s): con los 2 s de configuración, una Grad-CAM en CPU expiraría siempre y el circuito acabaría abierto — el sistema entero parecería caído cuando lo único que pasa es que el modelo tarda.</w:t>
      </w:r>
    </w:p>
    <w:p>
      <w:r>
        <w:rPr>
          <w:b/>
        </w:rPr>
        <w:t>`test_agente_acciones.py` (17)</w:t>
      </w:r>
      <w:r>
        <w:t xml:space="preserve"> — el despachador del agente. Es </w:t>
      </w:r>
      <w:r>
        <w:rPr>
          <w:b/>
        </w:rPr>
        <w:t>determinista</w:t>
      </w:r>
      <w:r>
        <w:t xml:space="preserve"> y se prueba con asserts: si el modelo *elige bien* la herramienta es otra cosa, y se mide aparte con el banco de </w:t>
      </w:r>
      <w:r>
        <w:rPr>
          <w:rFonts w:ascii="Consolas" w:hAnsi="Consolas"/>
          <w:sz w:val="19"/>
        </w:rPr>
        <w:t>eval_enrutado</w:t>
      </w:r>
      <w:r>
        <w:t xml:space="preserve">. </w:t>
      </w:r>
      <w:r>
        <w:rPr>
          <w:rFonts w:ascii="Consolas" w:hAnsi="Consolas"/>
          <w:sz w:val="19"/>
        </w:rPr>
        <w:t>test_una_herramienta_nueva_aparece_sin_tocar_este_modulo</w:t>
      </w:r>
      <w:r>
        <w:t xml:space="preserve"> fija la propiedad que impide que el agente y el servidor MCP se desincronicen.</w:t>
      </w:r>
    </w:p>
    <w:p>
      <w:r>
        <w:rPr>
          <w:b/>
        </w:rPr>
        <w:t>`test_rag_index.py` (17)</w:t>
      </w:r>
      <w:r>
        <w:t xml:space="preserve"> — </w:t>
      </w:r>
      <w:r>
        <w:rPr>
          <w:rFonts w:ascii="Consolas" w:hAnsi="Consolas"/>
          <w:sz w:val="19"/>
        </w:rPr>
        <w:t>embeber</w:t>
      </w:r>
      <w:r>
        <w:t xml:space="preserve"> por lotes con progreso acumulado, normalización a norma 1 (sin ella el umbral de 0,55 no significaría nada), un vector nulo que no revienta la división, y que la ausencia de índice explique </w:t>
      </w:r>
      <w:r>
        <w:rPr>
          <w:b/>
        </w:rPr>
        <w:t>cómo</w:t>
      </w:r>
      <w:r>
        <w:t xml:space="preserve"> construirlo en vez de soltar un «fichero no encontrado».</w:t>
      </w:r>
    </w:p>
    <w:p>
      <w:pPr>
        <w:pStyle w:val="Heading4"/>
      </w:pPr>
      <w:r>
        <w:t>Un defecto real que la cobertura destapó</w:t>
      </w:r>
    </w:p>
    <w:p>
      <w:r>
        <w:t xml:space="preserve">El docstring de </w:t>
      </w:r>
      <w:r>
        <w:rPr>
          <w:rFonts w:ascii="Consolas" w:hAnsi="Consolas"/>
          <w:sz w:val="19"/>
        </w:rPr>
        <w:t>agente_acciones.ejecutar</w:t>
      </w:r>
      <w:r>
        <w:t xml:space="preserve"> promete *«devuelve siempre un dict — nunca lanza»*, y </w:t>
      </w:r>
      <w:r>
        <w:rPr>
          <w:rFonts w:ascii="Consolas" w:hAnsi="Consolas"/>
          <w:sz w:val="19"/>
        </w:rPr>
        <w:t>agente_grafo.py:165</w:t>
      </w:r>
      <w:r>
        <w:t xml:space="preserve"> llama sin envolver apoyándose en esa promesa. Pero </w:t>
      </w:r>
      <w:r>
        <w:rPr>
          <w:rFonts w:ascii="Consolas" w:hAnsi="Consolas"/>
          <w:sz w:val="19"/>
        </w:rPr>
        <w:t>tool.run()</w:t>
      </w:r>
      <w:r>
        <w:t xml:space="preserve"> es una consulta al ORM: </w:t>
      </w:r>
      <w:r>
        <w:rPr>
          <w:b/>
        </w:rPr>
        <w:t>una caída de la base salía disparada hacia arriba y tumbaba el turno entero del agente</w:t>
      </w:r>
      <w:r>
        <w:t>, en vez de llegar al modelo como una observación de la que pudiera rectificar.</w:t>
      </w:r>
    </w:p>
    <w:p>
      <w:r>
        <w:t xml:space="preserve">Se añadió el guard, y solo alrededor de las cuatro consultas de </w:t>
      </w:r>
      <w:r>
        <w:rPr>
          <w:b/>
        </w:rPr>
        <w:t>lectura</w:t>
      </w:r>
      <w:r>
        <w:t>. La asimetría es deliberada y está probada en las dos direcciones (</w:t>
      </w:r>
      <w:r>
        <w:rPr>
          <w:rFonts w:ascii="Consolas" w:hAnsi="Consolas"/>
          <w:sz w:val="19"/>
        </w:rPr>
        <w:t>test_una_consulta_que_revienta_es_una_observacion_no_una_caida</w:t>
      </w:r>
      <w:r>
        <w:t xml:space="preserve"> y </w:t>
      </w:r>
      <w:r>
        <w:rPr>
          <w:rFonts w:ascii="Consolas" w:hAnsi="Consolas"/>
          <w:sz w:val="19"/>
        </w:rPr>
        <w:t>test_un_fallo_de_escritura_si_sale_disparado</w:t>
      </w:r>
      <w:r>
        <w:t>): tragarse una excepción a mitad de una escritura dejaría al modelo diciendo «hecho» sobre algo que no se guardó, y RN-05 no admite eso.</w:t>
      </w:r>
    </w:p>
    <w:p>
      <w:r>
        <w:t>Es el argumento de la consigna en un caso concreto: la cobertura no valía por el número, sino porque al ir a cubrir esas 16 sentencias apareció una diferencia entre lo que el código decía hacer y lo que hacía.</w:t>
      </w:r>
    </w:p>
    <w:p>
      <w:pPr>
        <w:pStyle w:val="Heading3"/>
      </w:pPr>
      <w:r>
        <w:t>Contrato — los errores de los endpoints</w:t>
      </w:r>
    </w:p>
    <w:p>
      <w:r>
        <w:rPr>
          <w:rFonts w:ascii="Consolas" w:hAnsi="Consolas"/>
          <w:sz w:val="19"/>
        </w:rPr>
        <w:t>views.py</w:t>
      </w:r>
      <w:r>
        <w:t xml:space="preserve"> era el hueco grande que quedaba: </w:t>
      </w:r>
      <w:r>
        <w:rPr>
          <w:b/>
        </w:rPr>
        <w:t>80 %, 87 sentencias sin cubrir</w:t>
      </w:r>
      <w:r>
        <w:t>, casi todas ramas de error de endpoints cuyo camino feliz sí estaba probado.</w:t>
      </w:r>
    </w:p>
    <w:p>
      <w:r>
        <w:t>El diagnóstico fue más concreto que «falta cobertura». Los servicios están bien probados —</w:t>
      </w:r>
      <w:r>
        <w:rPr>
          <w:rFonts w:ascii="Consolas" w:hAnsi="Consolas"/>
          <w:sz w:val="19"/>
        </w:rPr>
        <w:t>test_supervisor_s2.py</w:t>
      </w:r>
      <w:r>
        <w:t xml:space="preserve"> comprueba que </w:t>
      </w:r>
      <w:r>
        <w:rPr>
          <w:rFonts w:ascii="Consolas" w:hAnsi="Consolas"/>
          <w:sz w:val="19"/>
        </w:rPr>
        <w:t>sign_report</w:t>
      </w:r>
      <w:r>
        <w:t xml:space="preserve"> levanta </w:t>
      </w:r>
      <w:r>
        <w:rPr>
          <w:rFonts w:ascii="Consolas" w:hAnsi="Consolas"/>
          <w:sz w:val="19"/>
        </w:rPr>
        <w:t>MfaLockedError</w:t>
      </w:r>
      <w:r>
        <w:t xml:space="preserve"> cuando toca—, pero </w:t>
      </w:r>
      <w:r>
        <w:rPr>
          <w:b/>
        </w:rPr>
        <w:t>nadie comprobaba el tramo siguiente</w:t>
      </w:r>
      <w:r>
        <w:t xml:space="preserve">: que la vista traduzca esa excepción al código HTTP que el frontend espera. Si </w:t>
      </w:r>
      <w:r>
        <w:rPr>
          <w:rFonts w:ascii="Consolas" w:hAnsi="Consolas"/>
          <w:sz w:val="19"/>
        </w:rPr>
        <w:t>MfaLockedError</w:t>
      </w:r>
      <w:r>
        <w:t xml:space="preserve"> acabara devolviendo 500 en vez de 423, los tests de servicio seguirían en verde y la pantalla del supervisor diría «error del sistema» donde debe decir «cuenta bloqueada». Catorce códigos del contrato no aparecían en ninguna prueba del clínico.</w:t>
      </w:r>
    </w:p>
    <w:p>
      <w:r>
        <w:t xml:space="preserve">Se probó </w:t>
      </w:r>
      <w:r>
        <w:rPr>
          <w:b/>
        </w:rPr>
        <w:t>en tabla, no un test por endpoint</w:t>
      </w:r>
      <w:r>
        <w:t>: doce endpoints de cromosoma repiten literalmente las mismas dos guardas, y probarlas una a una serían 24 tests casi idénticos — la clase de duplicado que la §2 buscaba. Un endpoint nuevo que olvide una guarda aparece como una fila roja el día que se añada a la lista.</w:t>
      </w:r>
    </w:p>
    <w:p>
      <w:r>
        <w:rPr>
          <w:rFonts w:ascii="Consolas" w:hAnsi="Consolas"/>
          <w:sz w:val="19"/>
        </w:rPr>
        <w:t>views.py</w:t>
      </w:r>
      <w:r>
        <w:t xml:space="preserve"> pasa de </w:t>
      </w:r>
      <w:r>
        <w:rPr>
          <w:b/>
        </w:rPr>
        <w:t>80 % a 90,4 %</w:t>
      </w:r>
      <w:r>
        <w:t>.</w:t>
      </w:r>
    </w:p>
    <w:p>
      <w:pPr>
        <w:pStyle w:val="Heading4"/>
      </w:pPr>
      <w:r>
        <w:t>Doce de las sesenta fallaron en la primera pasada, y las tres causas eran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 que yo suponía</w:t>
            </w:r>
          </w:p>
        </w:tc>
        <w:tc>
          <w:tcPr>
            <w:tcW w:type="dxa" w:w="2880"/>
          </w:tcPr>
          <w:p>
            <w:r>
              <w:rPr>
                <w:b/>
              </w:rPr>
            </w:r>
            <w:r>
              <w:rPr>
                <w:b/>
              </w:rPr>
              <w:t>Lo que el sistema hace</w:t>
            </w:r>
          </w:p>
        </w:tc>
        <w:tc>
          <w:tcPr>
            <w:tcW w:type="dxa" w:w="2880"/>
          </w:tcPr>
          <w:p>
            <w:r>
              <w:rPr>
                <w:b/>
              </w:rPr>
            </w:r>
            <w:r>
              <w:rPr>
                <w:b/>
              </w:rPr>
              <w:t>Qué se hizo</w:t>
            </w:r>
          </w:p>
        </w:tc>
      </w:tr>
      <w:tr>
        <w:tc>
          <w:tcPr>
            <w:tcW w:type="dxa" w:w="2880"/>
          </w:tcPr>
          <w:p>
            <w:r/>
            <w:r>
              <w:t xml:space="preserve">Desactivar una muestra es </w:t>
            </w:r>
            <w:r>
              <w:rPr>
                <w:rFonts w:ascii="Consolas" w:hAnsi="Consolas"/>
                <w:sz w:val="19"/>
              </w:rPr>
              <w:t>is_active = False</w:t>
            </w:r>
          </w:p>
        </w:tc>
        <w:tc>
          <w:tcPr>
            <w:tcW w:type="dxa" w:w="2880"/>
          </w:tcPr>
          <w:p>
            <w:r/>
            <w:r>
              <w:t xml:space="preserve">Hay una CHECK en la base, </w:t>
            </w:r>
            <w:r>
              <w:rPr>
                <w:rFonts w:ascii="Consolas" w:hAnsi="Consolas"/>
                <w:sz w:val="19"/>
              </w:rPr>
              <w:t>samples_deactivated_implies_deleted_at</w:t>
            </w:r>
            <w:r>
              <w:t xml:space="preserve">: desactivar sin registrar </w:t>
            </w:r>
            <w:r>
              <w:rPr>
                <w:b/>
              </w:rPr>
              <w:t>cuándo</w:t>
            </w:r>
            <w:r>
              <w:t xml:space="preserve"> es un dato perdido</w:t>
            </w:r>
          </w:p>
        </w:tc>
        <w:tc>
          <w:tcPr>
            <w:tcW w:type="dxa" w:w="2880"/>
          </w:tcPr>
          <w:p>
            <w:r/>
            <w:r>
              <w:t xml:space="preserve">Un helper </w:t>
            </w:r>
            <w:r>
              <w:rPr>
                <w:rFonts w:ascii="Consolas" w:hAnsi="Consolas"/>
                <w:sz w:val="19"/>
              </w:rPr>
              <w:t>borrar()</w:t>
            </w:r>
            <w:r>
              <w:t xml:space="preserve"> que pone las dos columnas y explica por qué van juntas</w:t>
            </w:r>
          </w:p>
        </w:tc>
      </w:tr>
      <w:tr>
        <w:tc>
          <w:tcPr>
            <w:tcW w:type="dxa" w:w="2880"/>
          </w:tcPr>
          <w:p>
            <w:r/>
            <w:r>
              <w:t xml:space="preserve">Un analista ajeno recibe </w:t>
            </w:r>
            <w:r>
              <w:rPr>
                <w:rFonts w:ascii="Consolas" w:hAnsi="Consolas"/>
                <w:sz w:val="19"/>
              </w:rPr>
              <w:t>NOT_OWNER</w:t>
            </w:r>
            <w:r>
              <w:t xml:space="preserve"> en </w:t>
            </w:r>
            <w:r>
              <w:rPr>
                <w:rFonts w:ascii="Consolas" w:hAnsi="Consolas"/>
                <w:sz w:val="19"/>
              </w:rPr>
              <w:t>narrative</w:t>
            </w:r>
            <w:r>
              <w:t xml:space="preserve"> e </w:t>
            </w:r>
            <w:r>
              <w:rPr>
                <w:rFonts w:ascii="Consolas" w:hAnsi="Consolas"/>
                <w:sz w:val="19"/>
              </w:rPr>
              <w:t>iscn</w:t>
            </w:r>
          </w:p>
        </w:tc>
        <w:tc>
          <w:tcPr>
            <w:tcW w:type="dxa" w:w="2880"/>
          </w:tcPr>
          <w:p>
            <w:r/>
            <w:r>
              <w:t xml:space="preserve">Esos dos exigen </w:t>
            </w:r>
            <w:r>
              <w:rPr>
                <w:rFonts w:ascii="Consolas" w:hAnsi="Consolas"/>
                <w:sz w:val="19"/>
              </w:rPr>
              <w:t>case.sign</w:t>
            </w:r>
            <w:r>
              <w:t xml:space="preserve">, que solo tienen Supervisor y Admin — y la guarda deja pasar a todo </w:t>
            </w:r>
            <w:r>
              <w:rPr>
                <w:rFonts w:ascii="Consolas" w:hAnsi="Consolas"/>
                <w:sz w:val="19"/>
              </w:rPr>
              <w:t>is_staff</w:t>
            </w:r>
            <w:r>
              <w:t xml:space="preserve"> sin mirar de quién es el caso</w:t>
            </w:r>
          </w:p>
        </w:tc>
        <w:tc>
          <w:tcPr>
            <w:tcW w:type="dxa" w:w="2880"/>
          </w:tcPr>
          <w:p>
            <w:r/>
            <w:r>
              <w:t xml:space="preserve">Se separó la tabla: para esos dos la rama </w:t>
            </w:r>
            <w:r>
              <w:rPr>
                <w:rFonts w:ascii="Consolas" w:hAnsi="Consolas"/>
                <w:sz w:val="19"/>
              </w:rPr>
              <w:t>NOT_OWNER</w:t>
            </w:r>
            <w:r>
              <w:t xml:space="preserve"> es </w:t>
            </w:r>
            <w:r>
              <w:rPr>
                <w:b/>
              </w:rPr>
              <w:t>inalcanzable</w:t>
            </w:r>
            <w:r>
              <w:t>, y así queda escrito en vez de forzarse</w:t>
            </w:r>
          </w:p>
        </w:tc>
      </w:tr>
      <w:tr>
        <w:tc>
          <w:tcPr>
            <w:tcW w:type="dxa" w:w="2880"/>
          </w:tcPr>
          <w:p>
            <w:r/>
            <w:r>
              <w:t>El supervisor no puede sobrescribir el ISCN</w:t>
            </w:r>
          </w:p>
        </w:tc>
        <w:tc>
          <w:tcPr>
            <w:tcW w:type="dxa" w:w="2880"/>
          </w:tcPr>
          <w:p>
            <w:r/>
            <w:r>
              <w:t xml:space="preserve">La matriz sembrada le da </w:t>
            </w:r>
            <w:r>
              <w:rPr>
                <w:rFonts w:ascii="Consolas" w:hAnsi="Consolas"/>
                <w:sz w:val="19"/>
              </w:rPr>
              <w:t>case.override_iscn</w:t>
            </w:r>
            <w:r>
              <w:t xml:space="preserve"> a </w:t>
            </w:r>
            <w:r>
              <w:rPr>
                <w:b/>
              </w:rPr>
              <w:t>todo</w:t>
            </w:r>
            <w:r>
              <w:t xml:space="preserve"> Supervisor</w:t>
            </w:r>
          </w:p>
        </w:tc>
        <w:tc>
          <w:tcPr>
            <w:tcW w:type="dxa" w:w="2880"/>
          </w:tcPr>
          <w:p>
            <w:r/>
            <w:r>
              <w:t xml:space="preserve">Se alcanza la rama con el mecanismo real del RBAC portado de MetaClass: una </w:t>
            </w:r>
            <w:r>
              <w:rPr>
                <w:b/>
              </w:rPr>
              <w:t>excepción individual</w:t>
            </w:r>
            <w:r>
              <w:t xml:space="preserve"> que quita la opción (ADR-0019, deny-overrides)</w:t>
            </w:r>
          </w:p>
        </w:tc>
      </w:tr>
    </w:tbl>
    <w:p/>
    <w:p>
      <w:r>
        <w:t>Las tres son el mismo patrón que la §2 ya había mostrado con los duplicados: la primera medición dice más sobre las suposiciones del que mide que sobre el sistema. Ninguna se «arregló» quitando el assert.</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-p no:randomly --cov=. --cov-fail-under=0</w:t>
      </w:r>
    </w:p>
    <w:p>
      <w:pPr>
        <w:spacing w:after="200"/>
        <w:ind w:left="280"/>
      </w:pPr>
      <w:r>
        <w:rPr>
          <w:rFonts w:ascii="Consolas" w:hAnsi="Consolas"/>
          <w:color w:val="1F2A37"/>
          <w:sz w:val="17"/>
        </w:rPr>
        <w:t>TOTAL                                    8293   1170    86%</w:t>
        <w:br/>
        <w:t>784 passed, 2 warnings in 541.22s (0:09:01)</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 xml:space="preserve">Los 784 pasan en 9 min 1 s sin tocar la red. Los 121 tests añadidos no la tocan tampoco: doblan </w:t>
      </w:r>
      <w:r>
        <w:rPr>
          <w:rFonts w:ascii="Consolas" w:hAnsi="Consolas"/>
          <w:sz w:val="19"/>
        </w:rPr>
        <w:t>httpx</w:t>
      </w:r>
      <w:r>
        <w:t xml:space="preserve"> en la frontera y usan </w:t>
      </w:r>
      <w:r>
        <w:rPr>
          <w:rFonts w:ascii="Consolas" w:hAnsi="Consolas"/>
          <w:sz w:val="19"/>
        </w:rPr>
        <w:t>tmp_path</w:t>
      </w:r>
      <w:r>
        <w:t xml:space="preserve"> para el disco.</w:t>
      </w:r>
    </w:p>
    <w:p>
      <w:r>
        <w:t xml:space="preserve">El detector de duplicados, corrido de nuevo sobre las </w:t>
      </w:r>
      <w:r>
        <w:rPr>
          <w:b/>
        </w:rPr>
        <w:t>917 pruebas con assert</w:t>
      </w:r>
      <w:r>
        <w:t xml:space="preserve"> del repositorio completo, devuelve </w:t>
      </w:r>
      <w:r>
        <w:rPr>
          <w:b/>
        </w:rPr>
        <w:t>0 grupos con huella repetida</w:t>
      </w:r>
      <w:r>
        <w:t>: los 121 tests nuevos no introdujeron ninguno.</w:t>
      </w:r>
    </w:p>
    <w:p>
      <w:r>
        <w:t>La batería de contrato es donde más fácil habría sido introducirlos —doce endpoints con las mismas dos guardas—, y es justo por eso que se escribió parametrizada: la tabla es una fila por endpoint, no un bloque copiado.</w:t>
      </w:r>
    </w:p>
    <w:p/>
    <w:p>
      <w:pPr>
        <w:pStyle w:val="Heading2"/>
      </w:pPr>
      <w:r>
        <w:t>7 · Lo que queda declarado</w:t>
      </w:r>
    </w:p>
    <w:p>
      <w:r>
        <w:rPr>
          <w:b/>
        </w:rPr>
        <w:t>El código de producción del clínico ya cumple RN-09</w:t>
      </w:r>
      <w:r>
        <w:t xml:space="preserve">: 91,74 %, por encima del 90 % exigido. La cifra que reporta </w:t>
      </w:r>
      <w:r>
        <w:rPr>
          <w:rFonts w:ascii="Consolas" w:hAnsi="Consolas"/>
          <w:sz w:val="19"/>
        </w:rPr>
        <w:t>pytest-cov</w:t>
      </w:r>
      <w:r>
        <w:t xml:space="preserve"> en bruto sigue por debajo (86,00 %) porque mezcla los ficheros de test y los </w:t>
      </w:r>
      <w:r>
        <w:rPr>
          <w:rFonts w:ascii="Consolas" w:hAnsi="Consolas"/>
          <w:sz w:val="19"/>
        </w:rPr>
        <w:t>management/commands</w:t>
      </w:r>
      <w:r>
        <w:t>; se explica en §1 y no se disimula.</w:t>
      </w:r>
    </w:p>
    <w:p>
      <w:r>
        <w:rPr>
          <w:b/>
        </w:rPr>
        <w:t>Lo que queda sin cubrir, ordenado por lo que falta: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w:t>
            </w:r>
          </w:p>
        </w:tc>
        <w:tc>
          <w:tcPr>
            <w:tcW w:type="dxa" w:w="2880"/>
          </w:tcPr>
          <w:p>
            <w:r>
              <w:rPr>
                <w:b/>
              </w:rPr>
            </w:r>
            <w:r>
              <w:rPr>
                <w:b/>
              </w:rPr>
              <w:t>Sentencias sin cubrir</w:t>
            </w:r>
          </w:p>
        </w:tc>
      </w:tr>
      <w:tr>
        <w:tc>
          <w:tcPr>
            <w:tcW w:type="dxa" w:w="2880"/>
          </w:tcPr>
          <w:p>
            <w:r/>
            <w:r>
              <w:rPr>
                <w:rFonts w:ascii="Consolas" w:hAnsi="Consolas"/>
                <w:sz w:val="19"/>
              </w:rPr>
              <w:t>views.py</w:t>
            </w:r>
          </w:p>
        </w:tc>
        <w:tc>
          <w:tcPr>
            <w:tcW w:type="dxa" w:w="2880"/>
          </w:tcPr>
          <w:p>
            <w:r/>
            <w:r>
              <w:t>90,4 %</w:t>
            </w:r>
          </w:p>
        </w:tc>
        <w:tc>
          <w:tcPr>
            <w:tcW w:type="dxa" w:w="2880"/>
          </w:tcPr>
          <w:p>
            <w:r/>
            <w:r>
              <w:t>41</w:t>
            </w:r>
          </w:p>
        </w:tc>
      </w:tr>
      <w:tr>
        <w:tc>
          <w:tcPr>
            <w:tcW w:type="dxa" w:w="2880"/>
          </w:tcPr>
          <w:p>
            <w:r/>
            <w:r>
              <w:rPr>
                <w:rFonts w:ascii="Consolas" w:hAnsi="Consolas"/>
                <w:sz w:val="19"/>
              </w:rPr>
              <w:t>services.py</w:t>
            </w:r>
          </w:p>
        </w:tc>
        <w:tc>
          <w:tcPr>
            <w:tcW w:type="dxa" w:w="2880"/>
          </w:tcPr>
          <w:p>
            <w:r/>
            <w:r>
              <w:t>95,0 %</w:t>
            </w:r>
          </w:p>
        </w:tc>
        <w:tc>
          <w:tcPr>
            <w:tcW w:type="dxa" w:w="2880"/>
          </w:tcPr>
          <w:p>
            <w:r/>
            <w:r>
              <w:t>22</w:t>
            </w:r>
          </w:p>
        </w:tc>
      </w:tr>
      <w:tr>
        <w:tc>
          <w:tcPr>
            <w:tcW w:type="dxa" w:w="2880"/>
          </w:tcPr>
          <w:p>
            <w:r/>
            <w:r>
              <w:rPr>
                <w:rFonts w:ascii="Consolas" w:hAnsi="Consolas"/>
                <w:sz w:val="19"/>
              </w:rPr>
              <w:t>tool_router.py</w:t>
            </w:r>
          </w:p>
        </w:tc>
        <w:tc>
          <w:tcPr>
            <w:tcW w:type="dxa" w:w="2880"/>
          </w:tcPr>
          <w:p>
            <w:r/>
            <w:r>
              <w:t>75,6 %</w:t>
            </w:r>
          </w:p>
        </w:tc>
        <w:tc>
          <w:tcPr>
            <w:tcW w:type="dxa" w:w="2880"/>
          </w:tcPr>
          <w:p>
            <w:r/>
            <w:r>
              <w:t>19</w:t>
            </w:r>
          </w:p>
        </w:tc>
      </w:tr>
      <w:tr>
        <w:tc>
          <w:tcPr>
            <w:tcW w:type="dxa" w:w="2880"/>
          </w:tcPr>
          <w:p>
            <w:r/>
            <w:r>
              <w:rPr>
                <w:rFonts w:ascii="Consolas" w:hAnsi="Consolas"/>
                <w:sz w:val="19"/>
              </w:rPr>
              <w:t>migrations/</w:t>
            </w:r>
            <w:r>
              <w:t xml:space="preserve"> (4 ficheros de seed)</w:t>
            </w:r>
          </w:p>
        </w:tc>
        <w:tc>
          <w:tcPr>
            <w:tcW w:type="dxa" w:w="2880"/>
          </w:tcPr>
          <w:p>
            <w:r/>
            <w:r>
              <w:t>68-73 %</w:t>
            </w:r>
          </w:p>
        </w:tc>
        <w:tc>
          <w:tcPr>
            <w:tcW w:type="dxa" w:w="2880"/>
          </w:tcPr>
          <w:p>
            <w:r/>
            <w:r>
              <w:t>45</w:t>
            </w:r>
          </w:p>
        </w:tc>
      </w:tr>
      <w:tr>
        <w:tc>
          <w:tcPr>
            <w:tcW w:type="dxa" w:w="2880"/>
          </w:tcPr>
          <w:p>
            <w:r/>
            <w:r>
              <w:rPr>
                <w:rFonts w:ascii="Consolas" w:hAnsi="Consolas"/>
                <w:sz w:val="19"/>
              </w:rPr>
              <w:t>mcp_conexion.py</w:t>
            </w:r>
          </w:p>
        </w:tc>
        <w:tc>
          <w:tcPr>
            <w:tcW w:type="dxa" w:w="2880"/>
          </w:tcPr>
          <w:p>
            <w:r/>
            <w:r>
              <w:t>83,8 %</w:t>
            </w:r>
          </w:p>
        </w:tc>
        <w:tc>
          <w:tcPr>
            <w:tcW w:type="dxa" w:w="2880"/>
          </w:tcPr>
          <w:p>
            <w:r/>
            <w:r>
              <w:t>12</w:t>
            </w:r>
          </w:p>
        </w:tc>
      </w:tr>
      <w:tr>
        <w:tc>
          <w:tcPr>
            <w:tcW w:type="dxa" w:w="2880"/>
          </w:tcPr>
          <w:p>
            <w:r/>
            <w:r>
              <w:rPr>
                <w:rFonts w:ascii="Consolas" w:hAnsi="Consolas"/>
                <w:sz w:val="19"/>
              </w:rPr>
              <w:t>rag_corpus.py</w:t>
            </w:r>
          </w:p>
        </w:tc>
        <w:tc>
          <w:tcPr>
            <w:tcW w:type="dxa" w:w="2880"/>
          </w:tcPr>
          <w:p>
            <w:r/>
            <w:r>
              <w:t>85,2 %</w:t>
            </w:r>
          </w:p>
        </w:tc>
        <w:tc>
          <w:tcPr>
            <w:tcW w:type="dxa" w:w="2880"/>
          </w:tcPr>
          <w:p>
            <w:r/>
            <w:r>
              <w:t>12</w:t>
            </w:r>
          </w:p>
        </w:tc>
      </w:tr>
    </w:tbl>
    <w:p/>
    <w:p>
      <w:r>
        <w:t xml:space="preserve">De las 186 sentencias que quedan, </w:t>
      </w:r>
      <w:r>
        <w:rPr>
          <w:b/>
        </w:rPr>
        <w:t>45 están en migraciones de seed</w:t>
      </w:r>
      <w:r>
        <w:t xml:space="preserve"> —código que se ejecutó una vez al aplicar la migración y no se vuelve a ejecutar—. Lo que queda en </w:t>
      </w:r>
      <w:r>
        <w:rPr>
          <w:rFonts w:ascii="Consolas" w:hAnsi="Consolas"/>
          <w:sz w:val="19"/>
        </w:rPr>
        <w:t>views.py</w:t>
      </w:r>
      <w:r>
        <w:t xml:space="preserve"> es sobre todo la rama </w:t>
      </w:r>
      <w:r>
        <w:rPr>
          <w:rFonts w:ascii="Consolas" w:hAnsi="Consolas"/>
          <w:sz w:val="19"/>
        </w:rPr>
        <w:t>mcp: true</w:t>
      </w:r>
      <w:r>
        <w:t xml:space="preserve"> del agente, que exige levantar el servidor MCP: es integración de proceso, no unit.</w:t>
      </w:r>
    </w:p>
    <w:p>
      <w:r>
        <w:rPr>
          <w:rFonts w:ascii="Consolas" w:hAnsi="Consolas"/>
          <w:sz w:val="19"/>
        </w:rPr>
        <w:t>tool_router.py</w:t>
      </w:r>
      <w:r>
        <w:t xml:space="preserve"> al 75,6 % es el siguiente objetivo con sentido.</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