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Tool calling — resumen de una página</w:t>
      </w:r>
    </w:p>
    <w:p>
      <w:r>
        <w:rPr>
          <w:b/>
        </w:rPr>
        <w:t>BIOMED UMSS · Plataforma de Cariotipado Inteligente</w:t>
      </w:r>
      <w:r>
        <w:t xml:space="preserve"> — Ing. Guillermo Mamani Chambi (individual)</w:t>
      </w:r>
    </w:p>
    <w:p>
      <w:r>
        <w:t xml:space="preserve">Repositorio: </w:t>
      </w:r>
      <w:r>
        <w:rPr>
          <w:rFonts w:ascii="Consolas" w:hAnsi="Consolas"/>
          <w:sz w:val="19"/>
        </w:rPr>
        <w:t>https://github.com/guillemc92/karyoumss</w:t>
      </w:r>
      <w:r>
        <w:t xml:space="preserve"> · Rama: </w:t>
      </w:r>
      <w:r>
        <w:rPr>
          <w:b/>
        </w:rPr>
        <w:t>`feature/clinic-django-stack`</w:t>
      </w:r>
    </w:p>
    <w:p/>
    <w:p>
      <w:pPr>
        <w:pStyle w:val="Heading2"/>
      </w:pPr>
      <w:r>
        <w:t>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en pantalla </w:t>
      </w:r>
      <w:r>
        <w:rPr>
          <w:rFonts w:ascii="Consolas" w:hAnsi="Consolas"/>
          <w:sz w:val="19"/>
        </w:rPr>
        <w:t>camino</w:t>
      </w:r>
      <w:r>
        <w:t xml:space="preserve">, </w:t>
      </w:r>
      <w:r>
        <w:rPr>
          <w:rFonts w:ascii="Consolas" w:hAnsi="Consolas"/>
          <w:sz w:val="19"/>
        </w:rPr>
        <w:t>tool</w:t>
      </w:r>
      <w:r>
        <w:t xml:space="preserve"> y </w:t>
      </w:r>
      <w:r>
        <w:rPr>
          <w:rFonts w:ascii="Consolas" w:hAnsi="Consolas"/>
          <w:sz w:val="19"/>
        </w:rPr>
        <w:t>source</w:t>
      </w:r>
      <w:r>
        <w:t>. Sin procedencia, un</w:t>
      </w:r>
    </w:p>
    <w:p>
      <w:r>
        <w:t>usuario no puede distinguir un dato consultado de uno inventado.</w:t>
      </w:r>
    </w:p>
    <w:p>
      <w:pPr>
        <w:pStyle w:val="Heading2"/>
      </w:pPr>
      <w:r>
        <w:t>Modelo y versión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`llama3.2:3b`</w:t>
            </w:r>
            <w:r>
              <w:t xml:space="preserve"> — versión fija en el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, </w:t>
            </w:r>
            <w:r>
              <w:rPr>
                <w:b/>
              </w:rPr>
              <w:t>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 xml:space="preserve">Ollama local, 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 xml:space="preserve"> (SDK de OpenAI)</w:t>
            </w:r>
          </w:p>
        </w:tc>
      </w:tr>
      <w:tr>
        <w:tc>
          <w:tcPr>
            <w:tcW w:type="dxa" w:w="4320"/>
          </w:tcPr>
          <w:p>
            <w:r/>
            <w:r>
              <w:t>Parámetros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temperature=0.0</w:t>
            </w:r>
            <w:r>
              <w:t xml:space="preserve"> (enrutar es determinista), </w:t>
            </w:r>
            <w:r>
              <w:rPr>
                <w:rFonts w:ascii="Consolas" w:hAnsi="Consolas"/>
                <w:sz w:val="19"/>
              </w:rPr>
              <w:t>max_tokens=200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response_format</w:t>
            </w:r>
            <w:r>
              <w:t xml:space="preserve"> con enum de nombres válidos</w:t>
            </w:r>
          </w:p>
        </w:tc>
      </w:tr>
      <w:tr>
        <w:tc>
          <w:tcPr>
            <w:tcW w:type="dxa" w:w="4320"/>
          </w:tcPr>
          <w:p>
            <w:r/>
            <w:r>
              <w:t>Interruptor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>
      <w:r>
        <w:t xml:space="preserve">La versión se fija porque </w:t>
      </w:r>
      <w:r>
        <w:rPr>
          <w:rFonts w:ascii="Consolas" w:hAnsi="Consolas"/>
          <w:sz w:val="19"/>
        </w:rPr>
        <w:t>latest</w:t>
      </w:r>
      <w:r>
        <w:t xml:space="preserve"> cambia el modelo bajo los pies: el enrutamiento</w:t>
      </w:r>
    </w:p>
    <w:p>
      <w:r>
        <w:t>dejaría de ser reproducible y los cuatro escenarios no serían verificables dos veces.</w:t>
      </w:r>
    </w:p>
    <w:p>
      <w:pPr>
        <w:pStyle w:val="Heading2"/>
      </w:pPr>
      <w:r>
        <w:t>Qué no funcionó</w:t>
      </w:r>
    </w:p>
    <w:p>
      <w:r>
        <w:rPr>
          <w:b/>
        </w:rPr>
        <w:t>La latencia del camino LLM es inaceptable para uso interactivo: ~94 segundos</w:t>
      </w:r>
      <w:r>
        <w:t>,</w:t>
      </w:r>
    </w:p>
    <w:p>
      <w:r>
        <w:t>contra 7–34 ms del camino KEYWORD — tres órdenes de magnitud. Es el costo de un</w:t>
      </w:r>
    </w:p>
    <w:p>
      <w:r>
        <w:t>modelo de 3B en CPU sin GPU. La arquitectura de dos caminos existe justamente por</w:t>
      </w:r>
    </w:p>
    <w:p>
      <w:r>
        <w:t>esto: las preguntas frecuentes se resuelven con vocabulario y el modelo queda como</w:t>
      </w:r>
    </w:p>
    <w:p>
      <w:r>
        <w:t>red de seguridad para las que no.</w:t>
      </w:r>
    </w:p>
    <w:p>
      <w:r>
        <w:rPr>
          <w:b/>
        </w:rPr>
        <w:t>El modelo devuelve nombres que no están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El enrutador verifica el nombre contra el catálogo</w:t>
      </w:r>
    </w:p>
    <w:p>
      <w:r>
        <w:t>antes de ejecutar, en vez de confiar en que el contrato se respetó. Está cubierto</w:t>
      </w:r>
    </w:p>
    <w:p>
      <w:r>
        <w:t>por un test.</w:t>
      </w:r>
    </w:p>
    <w:p>
      <w:r>
        <w:rPr>
          <w:b/>
        </w:rPr>
        <w:t>La degradación es tan limpia que esconde errores de configuración.</w:t>
      </w:r>
      <w:r>
        <w:t xml:space="preserve"> Al correr la</w:t>
      </w:r>
    </w:p>
    <w:p>
      <w:r>
        <w:t xml:space="preserve">demo con un intérprete sin el SDK de </w:t>
      </w:r>
      <w:r>
        <w:rPr>
          <w:rFonts w:ascii="Consolas" w:hAnsi="Consolas"/>
          <w:sz w:val="19"/>
        </w:rPr>
        <w:t>openai</w:t>
      </w:r>
      <w:r>
        <w:t xml:space="preserve"> instalado, el escenario 2 devolvió</w:t>
      </w:r>
    </w:p>
    <w:p>
      <w:r>
        <w:rPr>
          <w:rFonts w:ascii="Consolas" w:hAnsi="Consolas"/>
          <w:sz w:val="19"/>
        </w:rPr>
        <w:t>SIN_MATCH</w:t>
      </w:r>
      <w:r>
        <w:t xml:space="preserve"> con aspecto de comportamiento correcto; el único indicio era una línea</w:t>
      </w:r>
    </w:p>
    <w:p>
      <w:r>
        <w:t>de log. Un fallo de disponibilidad y una pregunta fuera de alcance se ven casi</w:t>
      </w:r>
    </w:p>
    <w:p>
      <w:r>
        <w:t>igual desde la pantalla. Convendría distinguirlos en la respuesta.</w:t>
      </w:r>
    </w:p>
    <w:p>
      <w:r>
        <w:rPr>
          <w:b/>
        </w:rPr>
        <w:t>La consola de Windows (cp1252) rompe con Unicode</w:t>
      </w:r>
      <w:r>
        <w:t xml:space="preserve"> — flechas, comillas angulares,</w:t>
      </w:r>
    </w:p>
    <w:p>
      <w:r>
        <w:t xml:space="preserve">guiones largos. La primera corrida falló con </w:t>
      </w:r>
      <w:r>
        <w:rPr>
          <w:rFonts w:ascii="Consolas" w:hAnsi="Consolas"/>
          <w:sz w:val="19"/>
        </w:rPr>
        <w:t>UnicodeEncodeError</w:t>
      </w:r>
      <w:r>
        <w:t>; se resolvió</w:t>
      </w:r>
    </w:p>
    <w:p>
      <w:r>
        <w:t>usando solo ASCII en la salida del comando.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 y la demo no probaba nada. Hubo que</w:t>
      </w:r>
    </w:p>
    <w:p>
      <w:r>
        <w:t>sembrar un caso específico (</w:t>
      </w:r>
      <w:r>
        <w:rPr>
          <w:rFonts w:ascii="Consolas" w:hAnsi="Consolas"/>
          <w:sz w:val="19"/>
        </w:rPr>
        <w:t>seed_demo_tools</w:t>
      </w:r>
      <w:r>
        <w:t>).</w:t>
      </w:r>
    </w:p>
    <w:p>
      <w:pPr>
        <w:pStyle w:val="Heading2"/>
      </w:pPr>
      <w:r>
        <w:t>Lo que aporta el modelo, medido</w:t>
      </w:r>
    </w:p>
    <w:p>
      <w:r>
        <w:t xml:space="preserve">Con </w:t>
      </w:r>
      <w:r>
        <w:rPr>
          <w:rFonts w:ascii="Consolas" w:hAnsi="Consolas"/>
          <w:sz w:val="19"/>
        </w:rPr>
        <w:t>CLINIC_LLM_ENABLED=false</w:t>
      </w:r>
      <w:r>
        <w:t>, el escenario 1 responde idéntico (7 ms) y el</w:t>
      </w:r>
    </w:p>
    <w:p>
      <w:r>
        <w:t>escenario 2 —el sinónimo— cae en «no sé». Esa diferencia, y solo esa, es la</w:t>
      </w:r>
    </w:p>
    <w:p>
      <w:r>
        <w:t xml:space="preserve">contribución del modelo: </w:t>
      </w:r>
      <w:r>
        <w:rPr>
          <w:b/>
        </w:rPr>
        <w:t>tolerancia a la paráfrasis, sin tocar los datos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