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Alcance</w:t>
            </w:r>
          </w:p>
        </w:tc>
        <w:tc>
          <w:tcPr>
            <w:tcW w:type="dxa" w:w="1234"/>
          </w:tcPr>
          <w:p>
            <w:r>
              <w:rPr>
                <w:b/>
              </w:rPr>
            </w:r>
            <w:r>
              <w:rPr>
                <w:b/>
              </w:rPr>
              <w:t>Antes</w:t>
            </w:r>
          </w:p>
        </w:tc>
        <w:tc>
          <w:tcPr>
            <w:tcW w:type="dxa" w:w="1234"/>
          </w:tcPr>
          <w:p>
            <w:r>
              <w:rPr>
                <w:b/>
              </w:rPr>
            </w:r>
            <w:r>
              <w:rPr>
                <w:b/>
              </w:rPr>
              <w:t>Actividad 2</w:t>
            </w:r>
          </w:p>
        </w:tc>
        <w:tc>
          <w:tcPr>
            <w:tcW w:type="dxa" w:w="1234"/>
          </w:tcPr>
          <w:p>
            <w:r>
              <w:rPr>
                <w:b/>
              </w:rPr>
            </w:r>
            <w:r>
              <w:rPr>
                <w:b/>
              </w:rPr>
              <w:t>Frontera</w:t>
            </w:r>
          </w:p>
        </w:tc>
        <w:tc>
          <w:tcPr>
            <w:tcW w:type="dxa" w:w="1234"/>
          </w:tcPr>
          <w:p>
            <w:r>
              <w:rPr>
                <w:b/>
              </w:rPr>
            </w:r>
            <w:r>
              <w:rPr>
                <w:b/>
              </w:rPr>
              <w:t>Contrato</w:t>
            </w:r>
          </w:p>
        </w:tc>
        <w:tc>
          <w:tcPr>
            <w:tcW w:type="dxa" w:w="1234"/>
          </w:tcPr>
          <w:p>
            <w:r>
              <w:rPr>
                <w:b/>
              </w:rPr>
            </w:r>
            <w:r>
              <w:rPr>
                <w:b/>
              </w:rPr>
              <w:t>Últimos huecos</w:t>
            </w:r>
          </w:p>
        </w:tc>
        <w:tc>
          <w:tcPr>
            <w:tcW w:type="dxa" w:w="1234"/>
          </w:tcPr>
          <w:p>
            <w:r>
              <w:rPr>
                <w:b/>
              </w:rPr>
            </w:r>
            <w:r>
              <w:rPr>
                <w:b/>
              </w:rPr>
              <w:t>Δ total</w:t>
            </w:r>
          </w:p>
        </w:tc>
      </w:tr>
      <w:tr>
        <w:tc>
          <w:tcPr>
            <w:tcW w:type="dxa" w:w="1234"/>
          </w:tcPr>
          <w:p>
            <w:r/>
            <w:r>
              <w:t xml:space="preserve">Lo que reporta </w:t>
            </w:r>
            <w:r>
              <w:rPr>
                <w:rFonts w:ascii="Consolas" w:hAnsi="Consolas"/>
                <w:sz w:val="19"/>
              </w:rPr>
              <w:t>pytest-cov</w:t>
            </w:r>
          </w:p>
        </w:tc>
        <w:tc>
          <w:tcPr>
            <w:tcW w:type="dxa" w:w="1234"/>
          </w:tcPr>
          <w:p>
            <w:r/>
            <w:r>
              <w:t>82,25 %</w:t>
            </w:r>
          </w:p>
        </w:tc>
        <w:tc>
          <w:tcPr>
            <w:tcW w:type="dxa" w:w="1234"/>
          </w:tcPr>
          <w:p>
            <w:r/>
            <w:r>
              <w:t>84,04 %</w:t>
            </w:r>
          </w:p>
        </w:tc>
        <w:tc>
          <w:tcPr>
            <w:tcW w:type="dxa" w:w="1234"/>
          </w:tcPr>
          <w:p>
            <w:r/>
            <w:r>
              <w:t>86,00 %</w:t>
            </w:r>
          </w:p>
        </w:tc>
        <w:tc>
          <w:tcPr>
            <w:tcW w:type="dxa" w:w="1234"/>
          </w:tcPr>
          <w:p>
            <w:r/>
            <w:r>
              <w:t>86,82 %</w:t>
            </w:r>
          </w:p>
        </w:tc>
        <w:tc>
          <w:tcPr>
            <w:tcW w:type="dxa" w:w="1234"/>
          </w:tcPr>
          <w:p>
            <w:r/>
            <w:r>
              <w:t>88,54 %</w:t>
            </w:r>
          </w:p>
        </w:tc>
        <w:tc>
          <w:tcPr>
            <w:tcW w:type="dxa" w:w="1234"/>
          </w:tcPr>
          <w:p>
            <w:r/>
            <w:r>
              <w:t>+6,29 pp</w:t>
            </w:r>
          </w:p>
        </w:tc>
      </w:tr>
      <w:tr>
        <w:tc>
          <w:tcPr>
            <w:tcW w:type="dxa" w:w="1234"/>
          </w:tcPr>
          <w:p>
            <w:r/>
            <w:r>
              <w:t>Sin ficheros de test</w:t>
            </w:r>
          </w:p>
        </w:tc>
        <w:tc>
          <w:tcPr>
            <w:tcW w:type="dxa" w:w="1234"/>
          </w:tcPr>
          <w:p>
            <w:r/>
            <w:r>
              <w:t>65,41 %</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t>—</w:t>
            </w:r>
          </w:p>
        </w:tc>
      </w:tr>
      <w:tr>
        <w:tc>
          <w:tcPr>
            <w:tcW w:type="dxa" w:w="1234"/>
          </w:tcPr>
          <w:p>
            <w:r/>
            <w:r>
              <w:rPr>
                <w:b/>
              </w:rPr>
              <w:t>Código de producción</w:t>
            </w:r>
            <w:r>
              <w:t xml:space="preserve"> (sin tests ni CLI)</w:t>
            </w:r>
          </w:p>
        </w:tc>
        <w:tc>
          <w:tcPr>
            <w:tcW w:type="dxa" w:w="1234"/>
          </w:tcPr>
          <w:p>
            <w:r/>
            <w:r>
              <w:rPr>
                <w:b/>
              </w:rPr>
              <w:t>85,63 %</w:t>
            </w:r>
          </w:p>
        </w:tc>
        <w:tc>
          <w:tcPr>
            <w:tcW w:type="dxa" w:w="1234"/>
          </w:tcPr>
          <w:p>
            <w:r/>
            <w:r>
              <w:rPr>
                <w:b/>
              </w:rPr>
              <w:t>88,60 %</w:t>
            </w:r>
          </w:p>
        </w:tc>
        <w:tc>
          <w:tcPr>
            <w:tcW w:type="dxa" w:w="1234"/>
          </w:tcPr>
          <w:p>
            <w:r/>
            <w:r>
              <w:rPr>
                <w:b/>
              </w:rPr>
              <w:t>91,74 %</w:t>
            </w:r>
          </w:p>
        </w:tc>
        <w:tc>
          <w:tcPr>
            <w:tcW w:type="dxa" w:w="1234"/>
          </w:tcPr>
          <w:p>
            <w:r/>
            <w:r>
              <w:rPr>
                <w:b/>
              </w:rPr>
              <w:t>93,38 %</w:t>
            </w:r>
          </w:p>
        </w:tc>
        <w:tc>
          <w:tcPr>
            <w:tcW w:type="dxa" w:w="1234"/>
          </w:tcPr>
          <w:p>
            <w:r/>
            <w:r>
              <w:rPr>
                <w:b/>
              </w:rPr>
              <w:t>96,33 %</w:t>
            </w:r>
          </w:p>
        </w:tc>
        <w:tc>
          <w:tcPr>
            <w:tcW w:type="dxa" w:w="1234"/>
          </w:tcPr>
          <w:p>
            <w:r/>
            <w:r>
              <w:rPr>
                <w:b/>
              </w:rPr>
              <w:t>+10,70 pp</w:t>
            </w:r>
          </w:p>
        </w:tc>
      </w:tr>
    </w:tbl>
    <w:p/>
    <w:p>
      <w:pPr>
        <w:spacing w:after="200"/>
        <w:ind w:left="280"/>
      </w:pPr>
      <w:r>
        <w:rPr>
          <w:rFonts w:ascii="Consolas" w:hAnsi="Consolas"/>
          <w:color w:val="1F2A37"/>
          <w:sz w:val="17"/>
        </w:rPr>
        <w:t>antes     46 ficheros · 2.798 sentencias · 2.396 cubiertas</w:t>
        <w:br/>
        <w:t>act. 2    47 ficheros · 2.806 sentencias · 2.486 cubiertas</w:t>
        <w:br/>
        <w:t>frontera  47 ficheros · 2.809 sentencias · 2.577 cubiertas</w:t>
        <w:br/>
        <w:t>contrato  47 ficheros · 2.809 sentencias · 2.623 cubiertas</w:t>
        <w:br/>
        <w:t>final     47 ficheros · 2.809 sentencias · 2.706 cubiertas</w:t>
        <w:br/>
        <w:t>tests     627 → 663 → 724 → 784 → 863   (+236)</w:t>
      </w:r>
    </w:p>
    <w:p>
      <w:r>
        <w:rPr>
          <w:b/>
        </w:rPr>
        <w:t>El código de producción del clínico pasa el 90 % que exige RN-09 y termina en 96,33 %.</w:t>
      </w:r>
      <w:r>
        <w:t xml:space="preserve"> De las 103 sentencias que quedan sin cubrir, </w:t>
      </w:r>
      <w:r>
        <w:rPr>
          <w:b/>
        </w:rPr>
        <w:t>45 están en cuatro migraciones de seed</w:t>
      </w:r>
      <w:r>
        <w:t xml:space="preserve"> —código que se ejecutó una vez al aplicar la migración y no se vuelve a ejecutar—: descontadas esas, el código vivo está al </w:t>
      </w:r>
      <w:r>
        <w:rPr>
          <w:b/>
        </w:rPr>
        <w:t>97,76 %</w:t>
      </w:r>
      <w:r>
        <w:t>.</w:t>
      </w:r>
    </w:p>
    <w:p>
      <w:r>
        <w:t xml:space="preserve">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tras el cierre de frontera, </w:t>
      </w:r>
      <w:r>
        <w:rPr>
          <w:b/>
        </w:rPr>
        <w:t>917</w:t>
      </w:r>
      <w:r>
        <w:t xml:space="preserve"> tras el contrato de errores y </w:t>
      </w:r>
      <w:r>
        <w:rPr>
          <w:b/>
        </w:rPr>
        <w:t>968</w:t>
      </w:r>
      <w:r>
        <w:t xml:space="preserve"> al final— y devolvió 0 grupos las tres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con su motivo</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t>Contrato — resto del mapeo excepción → HTTP</w:t>
            </w:r>
          </w:p>
        </w:tc>
        <w:tc>
          <w:tcPr>
            <w:tcW w:type="dxa" w:w="1728"/>
          </w:tcPr>
          <w:p>
            <w:r/>
            <w:r>
              <w:t>23</w:t>
            </w:r>
          </w:p>
        </w:tc>
        <w:tc>
          <w:tcPr>
            <w:tcW w:type="dxa" w:w="1728"/>
          </w:tcPr>
          <w:p>
            <w:r/>
            <w:r>
              <w:rPr>
                <w:b/>
              </w:rPr>
              <w:t>23</w:t>
            </w:r>
          </w:p>
        </w:tc>
        <w:tc>
          <w:tcPr>
            <w:tcW w:type="dxa" w:w="1728"/>
          </w:tcPr>
          <w:p>
            <w:r/>
            <w:r>
              <w:t>2 corregidos en auditoría</w:t>
            </w:r>
          </w:p>
        </w:tc>
        <w:tc>
          <w:tcPr>
            <w:tcW w:type="dxa" w:w="1728"/>
          </w:tcPr>
          <w:p>
            <w:r/>
            <w:r>
              <w:rPr>
                <w:rFonts w:ascii="Consolas" w:hAnsi="Consolas"/>
                <w:sz w:val="19"/>
              </w:rPr>
              <w:t>test_contrato_errores_endpoints.py</w:t>
            </w:r>
            <w:r>
              <w:t xml:space="preserve"> (ampliado)</w:t>
            </w:r>
          </w:p>
        </w:tc>
      </w:tr>
      <w:tr>
        <w:tc>
          <w:tcPr>
            <w:tcW w:type="dxa" w:w="1728"/>
          </w:tcPr>
          <w:p>
            <w:r/>
            <w:r>
              <w:t>Unit — frontera del enrutador</w:t>
            </w:r>
          </w:p>
        </w:tc>
        <w:tc>
          <w:tcPr>
            <w:tcW w:type="dxa" w:w="1728"/>
          </w:tcPr>
          <w:p>
            <w:r/>
            <w:r>
              <w:t>16</w:t>
            </w:r>
          </w:p>
        </w:tc>
        <w:tc>
          <w:tcPr>
            <w:tcW w:type="dxa" w:w="1728"/>
          </w:tcPr>
          <w:p>
            <w:r/>
            <w:r>
              <w:rPr>
                <w:b/>
              </w:rPr>
              <w:t>16</w:t>
            </w:r>
          </w:p>
        </w:tc>
        <w:tc>
          <w:tcPr>
            <w:tcW w:type="dxa" w:w="1728"/>
          </w:tcPr>
          <w:p>
            <w:r/>
            <w:r>
              <w:t>1 corregido en auditoría</w:t>
            </w:r>
          </w:p>
        </w:tc>
        <w:tc>
          <w:tcPr>
            <w:tcW w:type="dxa" w:w="1728"/>
          </w:tcPr>
          <w:p>
            <w:r/>
            <w:r>
              <w:rPr>
                <w:rFonts w:ascii="Consolas" w:hAnsi="Consolas"/>
                <w:sz w:val="19"/>
              </w:rPr>
              <w:t>test_tool_router_frontera.py</w:t>
            </w:r>
          </w:p>
        </w:tc>
      </w:tr>
      <w:tr>
        <w:tc>
          <w:tcPr>
            <w:tcW w:type="dxa" w:w="1728"/>
          </w:tcPr>
          <w:p>
            <w:r/>
            <w:r>
              <w:t>Unit — apertura de la sesión MCP</w:t>
            </w:r>
          </w:p>
        </w:tc>
        <w:tc>
          <w:tcPr>
            <w:tcW w:type="dxa" w:w="1728"/>
          </w:tcPr>
          <w:p>
            <w:r/>
            <w:r>
              <w:t>8</w:t>
            </w:r>
          </w:p>
        </w:tc>
        <w:tc>
          <w:tcPr>
            <w:tcW w:type="dxa" w:w="1728"/>
          </w:tcPr>
          <w:p>
            <w:r/>
            <w:r>
              <w:rPr>
                <w:b/>
              </w:rPr>
              <w:t>8</w:t>
            </w:r>
          </w:p>
        </w:tc>
        <w:tc>
          <w:tcPr>
            <w:tcW w:type="dxa" w:w="1728"/>
          </w:tcPr>
          <w:p>
            <w:r/>
            <w:r>
              <w:t>0</w:t>
            </w:r>
          </w:p>
        </w:tc>
        <w:tc>
          <w:tcPr>
            <w:tcW w:type="dxa" w:w="1728"/>
          </w:tcPr>
          <w:p>
            <w:r/>
            <w:r>
              <w:rPr>
                <w:rFonts w:ascii="Consolas" w:hAnsi="Consolas"/>
                <w:sz w:val="19"/>
              </w:rPr>
              <w:t>test_mcp_apertura.py</w:t>
            </w:r>
          </w:p>
        </w:tc>
      </w:tr>
      <w:tr>
        <w:tc>
          <w:tcPr>
            <w:tcW w:type="dxa" w:w="1728"/>
          </w:tcPr>
          <w:p>
            <w:r/>
            <w:r>
              <w:t>Unit — fuentes del corpus</w:t>
            </w:r>
          </w:p>
        </w:tc>
        <w:tc>
          <w:tcPr>
            <w:tcW w:type="dxa" w:w="1728"/>
          </w:tcPr>
          <w:p>
            <w:r/>
            <w:r>
              <w:t>11</w:t>
            </w:r>
          </w:p>
        </w:tc>
        <w:tc>
          <w:tcPr>
            <w:tcW w:type="dxa" w:w="1728"/>
          </w:tcPr>
          <w:p>
            <w:r/>
            <w:r>
              <w:rPr>
                <w:b/>
              </w:rPr>
              <w:t>11</w:t>
            </w:r>
          </w:p>
        </w:tc>
        <w:tc>
          <w:tcPr>
            <w:tcW w:type="dxa" w:w="1728"/>
          </w:tcPr>
          <w:p>
            <w:r/>
            <w:r>
              <w:t>6 corregidos en auditoría</w:t>
            </w:r>
          </w:p>
        </w:tc>
        <w:tc>
          <w:tcPr>
            <w:tcW w:type="dxa" w:w="1728"/>
          </w:tcPr>
          <w:p>
            <w:r/>
            <w:r>
              <w:rPr>
                <w:rFonts w:ascii="Consolas" w:hAnsi="Consolas"/>
                <w:sz w:val="19"/>
              </w:rPr>
              <w:t>test_rag_corpus_fuentes.py</w:t>
            </w:r>
          </w:p>
        </w:tc>
      </w:tr>
      <w:tr>
        <w:tc>
          <w:tcPr>
            <w:tcW w:type="dxa" w:w="1728"/>
          </w:tcPr>
          <w:p>
            <w:r/>
            <w:r>
              <w:t>Unit — integridad y degradación</w:t>
            </w:r>
          </w:p>
        </w:tc>
        <w:tc>
          <w:tcPr>
            <w:tcW w:type="dxa" w:w="1728"/>
          </w:tcPr>
          <w:p>
            <w:r/>
            <w:r>
              <w:t>16</w:t>
            </w:r>
          </w:p>
        </w:tc>
        <w:tc>
          <w:tcPr>
            <w:tcW w:type="dxa" w:w="1728"/>
          </w:tcPr>
          <w:p>
            <w:r/>
            <w:r>
              <w:rPr>
                <w:b/>
              </w:rPr>
              <w:t>16</w:t>
            </w:r>
          </w:p>
        </w:tc>
        <w:tc>
          <w:tcPr>
            <w:tcW w:type="dxa" w:w="1728"/>
          </w:tcPr>
          <w:p>
            <w:r/>
            <w:r>
              <w:t>4 corregidos en auditoría</w:t>
            </w:r>
          </w:p>
        </w:tc>
        <w:tc>
          <w:tcPr>
            <w:tcW w:type="dxa" w:w="1728"/>
          </w:tcPr>
          <w:p>
            <w:r/>
            <w:r>
              <w:rPr>
                <w:rFonts w:ascii="Consolas" w:hAnsi="Consolas"/>
                <w:sz w:val="19"/>
              </w:rPr>
              <w:t>test_servicios_degradacion.py</w:t>
            </w:r>
          </w:p>
        </w:tc>
      </w:tr>
      <w:tr>
        <w:tc>
          <w:tcPr>
            <w:tcW w:type="dxa" w:w="1728"/>
          </w:tcPr>
          <w:p>
            <w:r/>
            <w:r>
              <w:t>Unit — valor heredado sin cifrar</w:t>
            </w:r>
          </w:p>
        </w:tc>
        <w:tc>
          <w:tcPr>
            <w:tcW w:type="dxa" w:w="1728"/>
          </w:tcPr>
          <w:p>
            <w:r/>
            <w:r>
              <w:t>3</w:t>
            </w:r>
          </w:p>
        </w:tc>
        <w:tc>
          <w:tcPr>
            <w:tcW w:type="dxa" w:w="1728"/>
          </w:tcPr>
          <w:p>
            <w:r/>
            <w:r>
              <w:rPr>
                <w:b/>
              </w:rPr>
              <w:t>3</w:t>
            </w:r>
          </w:p>
        </w:tc>
        <w:tc>
          <w:tcPr>
            <w:tcW w:type="dxa" w:w="1728"/>
          </w:tcPr>
          <w:p>
            <w:r/>
            <w:r>
              <w:t>0</w:t>
            </w:r>
          </w:p>
        </w:tc>
        <w:tc>
          <w:tcPr>
            <w:tcW w:type="dxa" w:w="1728"/>
          </w:tcPr>
          <w:p>
            <w:r/>
            <w:r>
              <w:rPr>
                <w:rFonts w:ascii="Consolas" w:hAnsi="Consolas"/>
                <w:sz w:val="19"/>
              </w:rPr>
              <w:t>test_fields.py</w:t>
            </w:r>
            <w:r>
              <w:t xml:space="preserve"> (ampliado)</w:t>
            </w:r>
          </w:p>
        </w:tc>
      </w:tr>
      <w:tr>
        <w:tc>
          <w:tcPr>
            <w:tcW w:type="dxa" w:w="1728"/>
          </w:tcPr>
          <w:p>
            <w:r/>
            <w:r>
              <w:t>Unit — imágenes malformadas</w:t>
            </w:r>
          </w:p>
        </w:tc>
        <w:tc>
          <w:tcPr>
            <w:tcW w:type="dxa" w:w="1728"/>
          </w:tcPr>
          <w:p>
            <w:r/>
            <w:r>
              <w:t>4</w:t>
            </w:r>
          </w:p>
        </w:tc>
        <w:tc>
          <w:tcPr>
            <w:tcW w:type="dxa" w:w="1728"/>
          </w:tcPr>
          <w:p>
            <w:r/>
            <w:r>
              <w:rPr>
                <w:b/>
              </w:rPr>
              <w:t>4</w:t>
            </w:r>
          </w:p>
        </w:tc>
        <w:tc>
          <w:tcPr>
            <w:tcW w:type="dxa" w:w="1728"/>
          </w:tcPr>
          <w:p>
            <w:r/>
            <w:r>
              <w:t>0</w:t>
            </w:r>
          </w:p>
        </w:tc>
        <w:tc>
          <w:tcPr>
            <w:tcW w:type="dxa" w:w="1728"/>
          </w:tcPr>
          <w:p>
            <w:r/>
            <w:r>
              <w:rPr>
                <w:rFonts w:ascii="Consolas" w:hAnsi="Consolas"/>
                <w:sz w:val="19"/>
              </w:rPr>
              <w:t>test_imagen_metafase.py</w:t>
            </w:r>
            <w:r>
              <w:t xml:space="preserve"> (ampliado)</w:t>
            </w:r>
          </w:p>
        </w:tc>
      </w:tr>
      <w:tr>
        <w:tc>
          <w:tcPr>
            <w:tcW w:type="dxa" w:w="1728"/>
          </w:tcPr>
          <w:p>
            <w:r/>
            <w:r>
              <w:rPr>
                <w:b/>
              </w:rPr>
              <w:t>Subtotal últimos huecos</w:t>
            </w:r>
          </w:p>
        </w:tc>
        <w:tc>
          <w:tcPr>
            <w:tcW w:type="dxa" w:w="1728"/>
          </w:tcPr>
          <w:p>
            <w:r/>
            <w:r>
              <w:rPr>
                <w:b/>
              </w:rPr>
              <w:t>81</w:t>
            </w:r>
          </w:p>
        </w:tc>
        <w:tc>
          <w:tcPr>
            <w:tcW w:type="dxa" w:w="1728"/>
          </w:tcPr>
          <w:p>
            <w:r/>
            <w:r>
              <w:rPr>
                <w:b/>
              </w:rPr>
              <w:t>81</w:t>
            </w:r>
          </w:p>
        </w:tc>
        <w:tc>
          <w:tcPr>
            <w:tcW w:type="dxa" w:w="1728"/>
          </w:tcPr>
          <w:p>
            <w:r/>
            <w:r>
              <w:t>—</w:t>
            </w:r>
          </w:p>
        </w:tc>
        <w:tc>
          <w:tcPr>
            <w:tcW w:type="dxa" w:w="1728"/>
          </w:tcPr>
          <w:p>
            <w:r/>
          </w:p>
        </w:tc>
      </w:tr>
      <w:tr>
        <w:tc>
          <w:tcPr>
            <w:tcW w:type="dxa" w:w="1728"/>
          </w:tcPr>
          <w:p>
            <w:r/>
            <w:r>
              <w:rPr>
                <w:b/>
              </w:rPr>
              <w:t>Total</w:t>
            </w:r>
          </w:p>
        </w:tc>
        <w:tc>
          <w:tcPr>
            <w:tcW w:type="dxa" w:w="1728"/>
          </w:tcPr>
          <w:p>
            <w:r/>
            <w:r>
              <w:rPr>
                <w:b/>
              </w:rPr>
              <w:t>238</w:t>
            </w:r>
          </w:p>
        </w:tc>
        <w:tc>
          <w:tcPr>
            <w:tcW w:type="dxa" w:w="1728"/>
          </w:tcPr>
          <w:p>
            <w:r/>
            <w:r>
              <w:rPr>
                <w:b/>
              </w:rPr>
              <w:t>238</w:t>
            </w:r>
          </w:p>
        </w:tc>
        <w:tc>
          <w:tcPr>
            <w:tcW w:type="dxa" w:w="1728"/>
          </w:tcPr>
          <w:p>
            <w:r/>
            <w:r>
              <w:t>—</w:t>
            </w:r>
          </w:p>
        </w:tc>
        <w:tc>
          <w:tcPr>
            <w:tcW w:type="dxa" w:w="1728"/>
          </w:tcPr>
          <w:p>
            <w:r/>
          </w:p>
        </w:tc>
      </w:tr>
    </w:tbl>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3"/>
      </w:pPr>
      <w:r>
        <w:t>Los últimos huecos — lo que solo pasa cuando algo va mal</w:t>
      </w:r>
    </w:p>
    <w:p>
      <w:r>
        <w:t>Cerrados los cinco de frontera y el contrato de errores, lo que quedaba en el clínico eran ramas defensivas: las que solo se ejecutan cuando la entrada está mal, el disco falla o alguien manipula la base. Son las más fáciles de dejar sin probar y las que peor fallan, porque nadie las ve fallar hasta que hace falta.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Qué se cubrió</w:t>
            </w:r>
          </w:p>
        </w:tc>
      </w:tr>
      <w:tr>
        <w:tc>
          <w:tcPr>
            <w:tcW w:type="dxa" w:w="2160"/>
          </w:tcPr>
          <w:p>
            <w:r/>
            <w:r>
              <w:rPr>
                <w:rFonts w:ascii="Consolas" w:hAnsi="Consolas"/>
                <w:sz w:val="19"/>
              </w:rPr>
              <w:t>tool_router.py</w:t>
            </w:r>
          </w:p>
        </w:tc>
        <w:tc>
          <w:tcPr>
            <w:tcW w:type="dxa" w:w="2160"/>
          </w:tcPr>
          <w:p>
            <w:r/>
            <w:r>
              <w:t>75,6 %</w:t>
            </w:r>
          </w:p>
        </w:tc>
        <w:tc>
          <w:tcPr>
            <w:tcW w:type="dxa" w:w="2160"/>
          </w:tcPr>
          <w:p>
            <w:r/>
            <w:r>
              <w:rPr>
                <w:b/>
              </w:rPr>
              <w:t>100 %</w:t>
            </w:r>
          </w:p>
        </w:tc>
        <w:tc>
          <w:tcPr>
            <w:tcW w:type="dxa" w:w="2160"/>
          </w:tcPr>
          <w:p>
            <w:r/>
            <w:r>
              <w:t>el prompt del enrutador, la llamada real al modelo y el camino RAG</w:t>
            </w:r>
          </w:p>
        </w:tc>
      </w:tr>
      <w:tr>
        <w:tc>
          <w:tcPr>
            <w:tcW w:type="dxa" w:w="2160"/>
          </w:tcPr>
          <w:p>
            <w:r/>
            <w:r>
              <w:rPr>
                <w:rFonts w:ascii="Consolas" w:hAnsi="Consolas"/>
                <w:sz w:val="19"/>
              </w:rPr>
              <w:t>mcp_conexion.py</w:t>
            </w:r>
          </w:p>
        </w:tc>
        <w:tc>
          <w:tcPr>
            <w:tcW w:type="dxa" w:w="2160"/>
          </w:tcPr>
          <w:p>
            <w:r/>
            <w:r>
              <w:t>83,8 %</w:t>
            </w:r>
          </w:p>
        </w:tc>
        <w:tc>
          <w:tcPr>
            <w:tcW w:type="dxa" w:w="2160"/>
          </w:tcPr>
          <w:p>
            <w:r/>
            <w:r>
              <w:rPr>
                <w:b/>
              </w:rPr>
              <w:t>100 %</w:t>
            </w:r>
          </w:p>
        </w:tc>
        <w:tc>
          <w:tcPr>
            <w:tcW w:type="dxa" w:w="2160"/>
          </w:tcPr>
          <w:p>
            <w:r/>
            <w:r>
              <w:t>la apertura y el cierre reales de la sesión MCP</w:t>
            </w:r>
          </w:p>
        </w:tc>
      </w:tr>
      <w:tr>
        <w:tc>
          <w:tcPr>
            <w:tcW w:type="dxa" w:w="2160"/>
          </w:tcPr>
          <w:p>
            <w:r/>
            <w:r>
              <w:rPr>
                <w:rFonts w:ascii="Consolas" w:hAnsi="Consolas"/>
                <w:sz w:val="19"/>
              </w:rPr>
              <w:t>rag_corpus.py</w:t>
            </w:r>
          </w:p>
        </w:tc>
        <w:tc>
          <w:tcPr>
            <w:tcW w:type="dxa" w:w="2160"/>
          </w:tcPr>
          <w:p>
            <w:r/>
            <w:r>
              <w:t>85,2 %</w:t>
            </w:r>
          </w:p>
        </w:tc>
        <w:tc>
          <w:tcPr>
            <w:tcW w:type="dxa" w:w="2160"/>
          </w:tcPr>
          <w:p>
            <w:r/>
            <w:r>
              <w:rPr>
                <w:b/>
              </w:rPr>
              <w:t>100 %</w:t>
            </w:r>
          </w:p>
        </w:tc>
        <w:tc>
          <w:tcPr>
            <w:tcW w:type="dxa" w:w="2160"/>
          </w:tcPr>
          <w:p>
            <w:r/>
            <w:r>
              <w:t>qué documentos entran al corpus y cuáles se ignoran</w:t>
            </w:r>
          </w:p>
        </w:tc>
      </w:tr>
      <w:tr>
        <w:tc>
          <w:tcPr>
            <w:tcW w:type="dxa" w:w="2160"/>
          </w:tcPr>
          <w:p>
            <w:r/>
            <w:r>
              <w:rPr>
                <w:rFonts w:ascii="Consolas" w:hAnsi="Consolas"/>
                <w:sz w:val="19"/>
              </w:rPr>
              <w:t>services.py</w:t>
            </w:r>
          </w:p>
        </w:tc>
        <w:tc>
          <w:tcPr>
            <w:tcW w:type="dxa" w:w="2160"/>
          </w:tcPr>
          <w:p>
            <w:r/>
            <w:r>
              <w:t>95,0 %</w:t>
            </w:r>
          </w:p>
        </w:tc>
        <w:tc>
          <w:tcPr>
            <w:tcW w:type="dxa" w:w="2160"/>
          </w:tcPr>
          <w:p>
            <w:r/>
            <w:r>
              <w:rPr>
                <w:b/>
              </w:rPr>
              <w:t>99 %</w:t>
            </w:r>
          </w:p>
        </w:tc>
        <w:tc>
          <w:tcPr>
            <w:tcW w:type="dxa" w:w="2160"/>
          </w:tcPr>
          <w:p>
            <w:r/>
            <w:r>
              <w:t>integridad de la cadena, bloqueo y degradación</w:t>
            </w:r>
          </w:p>
        </w:tc>
      </w:tr>
      <w:tr>
        <w:tc>
          <w:tcPr>
            <w:tcW w:type="dxa" w:w="2160"/>
          </w:tcPr>
          <w:p>
            <w:r/>
            <w:r>
              <w:rPr>
                <w:rFonts w:ascii="Consolas" w:hAnsi="Consolas"/>
                <w:sz w:val="19"/>
              </w:rPr>
              <w:t>imagen.py</w:t>
            </w:r>
          </w:p>
        </w:tc>
        <w:tc>
          <w:tcPr>
            <w:tcW w:type="dxa" w:w="2160"/>
          </w:tcPr>
          <w:p>
            <w:r/>
            <w:r>
              <w:t>89,4 %</w:t>
            </w:r>
          </w:p>
        </w:tc>
        <w:tc>
          <w:tcPr>
            <w:tcW w:type="dxa" w:w="2160"/>
          </w:tcPr>
          <w:p>
            <w:r/>
            <w:r>
              <w:rPr>
                <w:b/>
              </w:rPr>
              <w:t>95,7 %</w:t>
            </w:r>
          </w:p>
        </w:tc>
        <w:tc>
          <w:tcPr>
            <w:tcW w:type="dxa" w:w="2160"/>
          </w:tcPr>
          <w:p>
            <w:r/>
            <w:r>
              <w:t>ficheros truncados y formatos desconocidos</w:t>
            </w:r>
          </w:p>
        </w:tc>
      </w:tr>
      <w:tr>
        <w:tc>
          <w:tcPr>
            <w:tcW w:type="dxa" w:w="2160"/>
          </w:tcPr>
          <w:p>
            <w:r/>
            <w:r>
              <w:rPr>
                <w:rFonts w:ascii="Consolas" w:hAnsi="Consolas"/>
                <w:sz w:val="19"/>
              </w:rPr>
              <w:t>fields.py</w:t>
            </w:r>
          </w:p>
        </w:tc>
        <w:tc>
          <w:tcPr>
            <w:tcW w:type="dxa" w:w="2160"/>
          </w:tcPr>
          <w:p>
            <w:r/>
            <w:r>
              <w:t>88,9 %</w:t>
            </w:r>
          </w:p>
        </w:tc>
        <w:tc>
          <w:tcPr>
            <w:tcW w:type="dxa" w:w="2160"/>
          </w:tcPr>
          <w:p>
            <w:r/>
            <w:r>
              <w:rPr>
                <w:b/>
              </w:rPr>
              <w:t>100 %</w:t>
            </w:r>
          </w:p>
        </w:tc>
        <w:tc>
          <w:tcPr>
            <w:tcW w:type="dxa" w:w="2160"/>
          </w:tcPr>
          <w:p>
            <w:r/>
            <w:r>
              <w:t>valores heredados que no son un token Fernet</w:t>
            </w:r>
          </w:p>
        </w:tc>
      </w:tr>
      <w:tr>
        <w:tc>
          <w:tcPr>
            <w:tcW w:type="dxa" w:w="2160"/>
          </w:tcPr>
          <w:p>
            <w:r/>
            <w:r>
              <w:rPr>
                <w:rFonts w:ascii="Consolas" w:hAnsi="Consolas"/>
                <w:sz w:val="19"/>
              </w:rPr>
              <w:t>views.py</w:t>
            </w:r>
          </w:p>
        </w:tc>
        <w:tc>
          <w:tcPr>
            <w:tcW w:type="dxa" w:w="2160"/>
          </w:tcPr>
          <w:p>
            <w:r/>
            <w:r>
              <w:t>90,4 %</w:t>
            </w:r>
          </w:p>
        </w:tc>
        <w:tc>
          <w:tcPr>
            <w:tcW w:type="dxa" w:w="2160"/>
          </w:tcPr>
          <w:p>
            <w:r/>
            <w:r>
              <w:rPr>
                <w:b/>
              </w:rPr>
              <w:t>94,4 %</w:t>
            </w:r>
          </w:p>
        </w:tc>
        <w:tc>
          <w:tcPr>
            <w:tcW w:type="dxa" w:w="2160"/>
          </w:tcPr>
          <w:p>
            <w:r/>
            <w:r>
              <w:t>el resto del mapeo excepción → código HTTP</w:t>
            </w:r>
          </w:p>
        </w:tc>
      </w:tr>
    </w:tbl>
    <w:p/>
    <w:p>
      <w:pPr>
        <w:pStyle w:val="Heading4"/>
      </w:pPr>
      <w:r>
        <w:t>El enrutador: probado a fondo, y con tres piezas sin ejecutar nunca</w:t>
      </w:r>
    </w:p>
    <w:p>
      <w:r>
        <w:rPr>
          <w:rFonts w:ascii="Consolas" w:hAnsi="Consolas"/>
          <w:sz w:val="19"/>
        </w:rPr>
        <w:t>test_tool_router.py</w:t>
      </w:r>
      <w:r>
        <w:t xml:space="preserve"> prueba muy bien los tres caminos —KEYWORD, LLM, SIN_MATCH—, pero para hacerlo sustituye </w:t>
      </w:r>
      <w:r>
        <w:rPr>
          <w:rFonts w:ascii="Consolas" w:hAnsi="Consolas"/>
          <w:sz w:val="19"/>
        </w:rPr>
        <w:t>_elegir_con_modelo</w:t>
      </w:r>
      <w:r>
        <w:t xml:space="preserve"> en </w:t>
      </w:r>
      <w:r>
        <w:rPr>
          <w:b/>
        </w:rPr>
        <w:t>todos</w:t>
      </w:r>
      <w:r>
        <w:t xml:space="preserve"> sus tests. Es la decisión correcta allí. El efecto lateral es que tres piezas no se ejecutaban nunca: el prompt del sistema, la llamada real y el camino documental.</w:t>
      </w:r>
    </w:p>
    <w:p>
      <w:r>
        <w:t xml:space="preserve">No es cobertura por la cobertura. </w:t>
      </w:r>
      <w:r>
        <w:rPr>
          <w:rFonts w:ascii="Consolas" w:hAnsi="Consolas"/>
          <w:sz w:val="19"/>
        </w:rPr>
        <w:t>_prompt_sistema</w:t>
      </w:r>
      <w:r>
        <w:t xml:space="preserve"> </w:t>
      </w:r>
      <w:r>
        <w:rPr>
          <w:b/>
        </w:rPr>
        <w:t>es</w:t>
      </w:r>
      <w:r>
        <w:t xml:space="preserve"> el contrato con el modelo: si se añade una herramienta al catálogo y el prompt no la lista, el modelo no puede elegirla — y ningún test de enrutado lo detectaría, precisamente porque todos doblan la elección.</w:t>
      </w:r>
    </w:p>
    <w:p>
      <w:pPr>
        <w:pStyle w:val="Heading4"/>
      </w:pPr>
      <w:r>
        <w:t>Tres hallazgos que la cobertura destapó</w:t>
      </w:r>
    </w:p>
    <w:p>
      <w:r>
        <w:rPr>
          <w:b/>
        </w:rPr>
        <w:t>1. `QuerySet.update()` esquiva el guard append-only de RN-05.</w:t>
      </w:r>
      <w:r>
        <w:t xml:space="preserve"> El guard vive en </w:t>
      </w:r>
      <w:r>
        <w:rPr>
          <w:rFonts w:ascii="Consolas" w:hAnsi="Consolas"/>
          <w:sz w:val="19"/>
        </w:rPr>
        <w:t>Model.save()</w:t>
      </w:r>
      <w:r>
        <w:t xml:space="preserve">, así que protege del error honesto —un </w:t>
      </w:r>
      <w:r>
        <w:rPr>
          <w:rFonts w:ascii="Consolas" w:hAnsi="Consolas"/>
          <w:sz w:val="19"/>
        </w:rPr>
        <w:t>save()</w:t>
      </w:r>
      <w:r>
        <w:t xml:space="preserve"> de más en un servicio— pero no de la manipulación: un </w:t>
      </w:r>
      <w:r>
        <w:rPr>
          <w:rFonts w:ascii="Consolas" w:hAnsi="Consolas"/>
          <w:sz w:val="19"/>
        </w:rPr>
        <w:t>.update()</w:t>
      </w:r>
      <w:r>
        <w:t xml:space="preserve"> reescribe el payload de un evento de auditoría sin que el modelo se entere. Lo que sí lo detecta es la cadena de hashes… y </w:t>
      </w:r>
      <w:r>
        <w:rPr>
          <w:rFonts w:ascii="Consolas" w:hAnsi="Consolas"/>
          <w:sz w:val="19"/>
        </w:rPr>
        <w:t>verify_audit_chain</w:t>
      </w:r>
      <w:r>
        <w:t xml:space="preserve"> </w:t>
      </w:r>
      <w:r>
        <w:rPr>
          <w:b/>
        </w:rPr>
        <w:t>nunca se había probado con datos manipulados</w:t>
      </w:r>
      <w:r>
        <w:t>: solo se había ejercitado con cadenas intactas. Una función de verificación que solo se prueba en verde no está probada. Las dos capas quedan ahora fijadas por separado, con su alcance real escrito.</w:t>
      </w:r>
    </w:p>
    <w:p>
      <w:r>
        <w:rPr>
          <w:b/>
        </w:rPr>
        <w:t>2. El troceador descarta en silencio los fragmentos de menos de 120 caracteres.</w:t>
      </w:r>
      <w:r>
        <w:t xml:space="preserve"> El documento se lee bien, no hay error, y simplemente no entra al índice. Es la decisión correcta —un fragmento de dos líneas no lleva contexto suficiente para que su embedding signifique algo— pero al ser invisible, una regresión tampoco haría ruido: el RAG contestaría «no lo sé» a algo que sí estaba documentado.</w:t>
      </w:r>
    </w:p>
    <w:p>
      <w:r>
        <w:rPr>
          <w:b/>
        </w:rPr>
        <w:t>3. `EncryptedTextField` devuelve el valor tal cual si no es un token Fernet válido.</w:t>
      </w:r>
      <w:r>
        <w:t xml:space="preserve"> Pasa con filas escritas antes de que el campo se cifrara y con dumps restaurados de otro entorno. Es deliberado y estaba sin probar: si lanzara, una sola fila heredada tumbaría cualquier consulta que la incluyera —incluido el listado de muestras— y el laboratorio se quedaría sin poder trabajar por un dato viejo.</w:t>
      </w:r>
    </w:p>
    <w:p>
      <w:pPr>
        <w:pStyle w:val="Heading4"/>
      </w:pPr>
      <w:r>
        <w:t>Cuatro suposiciones más que la primera pasada refutó</w:t>
      </w:r>
    </w:p>
    <w:p>
      <w:r>
        <w:t>Mismo patrón que en §2 con los duplicados y en el contrato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 que yo suponía</w:t>
            </w:r>
          </w:p>
        </w:tc>
        <w:tc>
          <w:tcPr>
            <w:tcW w:type="dxa" w:w="4320"/>
          </w:tcPr>
          <w:p>
            <w:r>
              <w:rPr>
                <w:b/>
              </w:rPr>
            </w:r>
            <w:r>
              <w:rPr>
                <w:b/>
              </w:rPr>
              <w:t>Lo que el sistema hace</w:t>
            </w:r>
          </w:p>
        </w:tc>
      </w:tr>
      <w:tr>
        <w:tc>
          <w:tcPr>
            <w:tcW w:type="dxa" w:w="4320"/>
          </w:tcPr>
          <w:p>
            <w:r/>
            <w:r>
              <w:t>«¿qué es un naranja?» va por el camino documental</w:t>
            </w:r>
          </w:p>
        </w:tc>
        <w:tc>
          <w:tcPr>
            <w:tcW w:type="dxa" w:w="4320"/>
          </w:tcPr>
          <w:p>
            <w:r/>
            <w:r>
              <w:t xml:space="preserve">«naranja» dispara el atajo por palabra clave; el que lo evita es «qué significa…», que </w:t>
            </w:r>
            <w:r>
              <w:rPr>
                <w:rFonts w:ascii="Consolas" w:hAnsi="Consolas"/>
                <w:sz w:val="19"/>
              </w:rPr>
              <w:t>_es_atajo_inseguro</w:t>
            </w:r>
            <w:r>
              <w:t xml:space="preserve"> reconoce como petición de explicación</w:t>
            </w:r>
          </w:p>
        </w:tc>
      </w:tr>
      <w:tr>
        <w:tc>
          <w:tcPr>
            <w:tcW w:type="dxa" w:w="4320"/>
          </w:tcPr>
          <w:p>
            <w:r/>
            <w:r>
              <w:t>Un corpus de prueba con secciones cortas produce fragmentos</w:t>
            </w:r>
          </w:p>
        </w:tc>
        <w:tc>
          <w:tcPr>
            <w:tcW w:type="dxa" w:w="4320"/>
          </w:tcPr>
          <w:p>
            <w:r/>
            <w:r>
              <w:rPr>
                <w:rFonts w:ascii="Consolas" w:hAnsi="Consolas"/>
                <w:sz w:val="19"/>
              </w:rPr>
              <w:t>MIN_CHARS = 120</w:t>
            </w:r>
            <w:r>
              <w:t>: devolvía cero y parecía que la carga fallaba</w:t>
            </w:r>
          </w:p>
        </w:tc>
      </w:tr>
      <w:tr>
        <w:tc>
          <w:tcPr>
            <w:tcW w:type="dxa" w:w="4320"/>
          </w:tcPr>
          <w:p>
            <w:r/>
            <w:r>
              <w:t xml:space="preserve">El payload de un evento se puede reescribir con </w:t>
            </w:r>
            <w:r>
              <w:rPr>
                <w:rFonts w:ascii="Consolas" w:hAnsi="Consolas"/>
                <w:sz w:val="19"/>
              </w:rPr>
              <w:t>save()</w:t>
            </w:r>
          </w:p>
        </w:tc>
        <w:tc>
          <w:tcPr>
            <w:tcW w:type="dxa" w:w="4320"/>
          </w:tcPr>
          <w:p>
            <w:r/>
            <w:r>
              <w:t xml:space="preserve">RN-05 lo bloquea en el modelo; hay que usar </w:t>
            </w:r>
            <w:r>
              <w:rPr>
                <w:rFonts w:ascii="Consolas" w:hAnsi="Consolas"/>
                <w:sz w:val="19"/>
              </w:rPr>
              <w:t>.update()</w:t>
            </w:r>
            <w:r>
              <w:t>, que es justo el agujero</w:t>
            </w:r>
          </w:p>
        </w:tc>
      </w:tr>
      <w:tr>
        <w:tc>
          <w:tcPr>
            <w:tcW w:type="dxa" w:w="4320"/>
          </w:tcPr>
          <w:p>
            <w:r/>
            <w:r>
              <w:t>El registro llega al servicio con una imagen</w:t>
            </w:r>
          </w:p>
        </w:tc>
        <w:tc>
          <w:tcPr>
            <w:tcW w:type="dxa" w:w="4320"/>
          </w:tcPr>
          <w:p>
            <w:r/>
            <w:r>
              <w:t xml:space="preserve">El serializer exige </w:t>
            </w:r>
            <w:r>
              <w:rPr>
                <w:b/>
              </w:rPr>
              <w:t>tres</w:t>
            </w:r>
            <w:r>
              <w:t xml:space="preserve"> metáfases: con menos no se toca la base ni se cifra la PII</w:t>
            </w:r>
          </w:p>
        </w:tc>
      </w:tr>
    </w:tbl>
    <w:p/>
    <w:p>
      <w:r>
        <w:t>Ninguna se resolvió quitando el assert. Las cuatro están escritas como pruebas con su motivo.</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8783   1086    88%</w:t>
        <w:br/>
        <w:t>863 passed, 2 warnings in 603.29s (0:10:03)</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863 pasan en 10 min 3 s sin tocar la red. Los 236 tests añadidos no la tocan tampoco: doblan </w:t>
      </w:r>
      <w:r>
        <w:rPr>
          <w:rFonts w:ascii="Consolas" w:hAnsi="Consolas"/>
          <w:sz w:val="19"/>
        </w:rPr>
        <w:t>httpx</w:t>
      </w:r>
      <w:r>
        <w:t xml:space="preserve"> y </w:t>
      </w:r>
      <w:r>
        <w:rPr>
          <w:rFonts w:ascii="Consolas" w:hAnsi="Consolas"/>
          <w:sz w:val="19"/>
        </w:rPr>
        <w:t>openai</w:t>
      </w:r>
      <w:r>
        <w:t xml:space="preserve"> en la frontera y usan </w:t>
      </w:r>
      <w:r>
        <w:rPr>
          <w:rFonts w:ascii="Consolas" w:hAnsi="Consolas"/>
          <w:sz w:val="19"/>
        </w:rPr>
        <w:t>tmp_path</w:t>
      </w:r>
      <w:r>
        <w:t xml:space="preserve"> para el disco. El único que lanza un proceso —la sesión MCP— tiene el doble puesto en el SDK, no en el sistema operativo.</w:t>
      </w:r>
    </w:p>
    <w:p>
      <w:r>
        <w:t xml:space="preserve">El detector de duplicados, corrido de nuevo sobre las </w:t>
      </w:r>
      <w:r>
        <w:rPr>
          <w:b/>
        </w:rPr>
        <w:t>968 pruebas con assert</w:t>
      </w:r>
      <w:r>
        <w:t xml:space="preserve"> del repositorio completo, devuelve </w:t>
      </w:r>
      <w:r>
        <w:rPr>
          <w:b/>
        </w:rPr>
        <w:t>0 grupos con huella repetida</w:t>
      </w:r>
      <w:r>
        <w:t>: los 236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Lo que queda declarado</w:t>
      </w:r>
    </w:p>
    <w:p>
      <w:r>
        <w:rPr>
          <w:b/>
        </w:rPr>
        <w:t>El código de producción del clínico ya cumple RN-09</w:t>
      </w:r>
      <w:r>
        <w:t xml:space="preserve">: 91,74 %, por encima del 90 % exigido. La cifra que reporta </w:t>
      </w:r>
      <w:r>
        <w:rPr>
          <w:rFonts w:ascii="Consolas" w:hAnsi="Consolas"/>
          <w:sz w:val="19"/>
        </w:rPr>
        <w:t>pytest-cov</w:t>
      </w:r>
      <w:r>
        <w:t xml:space="preserve"> en bruto sigue por debajo (86,00 %) porque mezcla los ficheros de test y los </w:t>
      </w:r>
      <w:r>
        <w:rPr>
          <w:rFonts w:ascii="Consolas" w:hAnsi="Consolas"/>
          <w:sz w:val="19"/>
        </w:rPr>
        <w:t>management/commands</w:t>
      </w:r>
      <w:r>
        <w:t>; se explica en §1 y no se disimula.</w:t>
      </w:r>
    </w:p>
    <w:p>
      <w:r>
        <w:rPr>
          <w:b/>
        </w:rPr>
        <w:t>Lo que queda sin cubrir son 103 sentencias, y casi la mitad no son código vivo: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views.py</w:t>
            </w:r>
          </w:p>
        </w:tc>
        <w:tc>
          <w:tcPr>
            <w:tcW w:type="dxa" w:w="2880"/>
          </w:tcPr>
          <w:p>
            <w:r/>
            <w:r>
              <w:t>94,4 %</w:t>
            </w:r>
          </w:p>
        </w:tc>
        <w:tc>
          <w:tcPr>
            <w:tcW w:type="dxa" w:w="2880"/>
          </w:tcPr>
          <w:p>
            <w:r/>
            <w:r>
              <w:t>24</w:t>
            </w:r>
          </w:p>
        </w:tc>
      </w:tr>
      <w:tr>
        <w:tc>
          <w:tcPr>
            <w:tcW w:type="dxa" w:w="2880"/>
          </w:tcPr>
          <w:p>
            <w:r/>
            <w:r>
              <w:rPr>
                <w:rFonts w:ascii="Consolas" w:hAnsi="Consolas"/>
                <w:sz w:val="19"/>
              </w:rPr>
              <w:t>agente_grafo.py</w:t>
            </w:r>
          </w:p>
        </w:tc>
        <w:tc>
          <w:tcPr>
            <w:tcW w:type="dxa" w:w="2880"/>
          </w:tcPr>
          <w:p>
            <w:r/>
            <w:r>
              <w:t>93,3 %</w:t>
            </w:r>
          </w:p>
        </w:tc>
        <w:tc>
          <w:tcPr>
            <w:tcW w:type="dxa" w:w="2880"/>
          </w:tcPr>
          <w:p>
            <w:r/>
            <w:r>
              <w:t>7</w:t>
            </w:r>
          </w:p>
        </w:tc>
      </w:tr>
      <w:tr>
        <w:tc>
          <w:tcPr>
            <w:tcW w:type="dxa" w:w="2880"/>
          </w:tcPr>
          <w:p>
            <w:r/>
            <w:r>
              <w:rPr>
                <w:rFonts w:ascii="Consolas" w:hAnsi="Consolas"/>
                <w:sz w:val="19"/>
              </w:rPr>
              <w:t>agente.py</w:t>
            </w:r>
          </w:p>
        </w:tc>
        <w:tc>
          <w:tcPr>
            <w:tcW w:type="dxa" w:w="2880"/>
          </w:tcPr>
          <w:p>
            <w:r/>
            <w:r>
              <w:t>92,8 %</w:t>
            </w:r>
          </w:p>
        </w:tc>
        <w:tc>
          <w:tcPr>
            <w:tcW w:type="dxa" w:w="2880"/>
          </w:tcPr>
          <w:p>
            <w:r/>
            <w:r>
              <w:t>6</w:t>
            </w:r>
          </w:p>
        </w:tc>
      </w:tr>
      <w:tr>
        <w:tc>
          <w:tcPr>
            <w:tcW w:type="dxa" w:w="2880"/>
          </w:tcPr>
          <w:p>
            <w:r/>
            <w:r>
              <w:rPr>
                <w:rFonts w:ascii="Consolas" w:hAnsi="Consolas"/>
                <w:sz w:val="19"/>
              </w:rPr>
              <w:t>services.py</w:t>
            </w:r>
          </w:p>
        </w:tc>
        <w:tc>
          <w:tcPr>
            <w:tcW w:type="dxa" w:w="2880"/>
          </w:tcPr>
          <w:p>
            <w:r/>
            <w:r>
              <w:t>99,0 %</w:t>
            </w:r>
          </w:p>
        </w:tc>
        <w:tc>
          <w:tcPr>
            <w:tcW w:type="dxa" w:w="2880"/>
          </w:tcPr>
          <w:p>
            <w:r/>
            <w:r>
              <w:t>5</w:t>
            </w:r>
          </w:p>
        </w:tc>
      </w:tr>
      <w:tr>
        <w:tc>
          <w:tcPr>
            <w:tcW w:type="dxa" w:w="2880"/>
          </w:tcPr>
          <w:p>
            <w:r/>
            <w:r>
              <w:rPr>
                <w:rFonts w:ascii="Consolas" w:hAnsi="Consolas"/>
                <w:sz w:val="19"/>
              </w:rPr>
              <w:t>iscn.py</w:t>
            </w:r>
          </w:p>
        </w:tc>
        <w:tc>
          <w:tcPr>
            <w:tcW w:type="dxa" w:w="2880"/>
          </w:tcPr>
          <w:p>
            <w:r/>
            <w:r>
              <w:t>96,2 %</w:t>
            </w:r>
          </w:p>
        </w:tc>
        <w:tc>
          <w:tcPr>
            <w:tcW w:type="dxa" w:w="2880"/>
          </w:tcPr>
          <w:p>
            <w:r/>
            <w:r>
              <w:t>4</w:t>
            </w:r>
          </w:p>
        </w:tc>
      </w:tr>
    </w:tbl>
    <w:p/>
    <w:p>
      <w:r>
        <w:t xml:space="preserve">Descontadas las migraciones de seed —código que se ejecutó una vez al aplicar la migración y no se vuelve a ejecutar—, </w:t>
      </w:r>
      <w:r>
        <w:rPr>
          <w:b/>
        </w:rPr>
        <w:t>el código vivo del clínico está al 97,76 %</w:t>
      </w:r>
      <w:r>
        <w:t>.</w:t>
      </w:r>
    </w:p>
    <w:p>
      <w:r>
        <w:t xml:space="preserve">Lo que queda en </w:t>
      </w:r>
      <w:r>
        <w:rPr>
          <w:rFonts w:ascii="Consolas" w:hAnsi="Consolas"/>
          <w:sz w:val="19"/>
        </w:rPr>
        <w:t>views.py</w:t>
      </w:r>
      <w:r>
        <w:t xml:space="preserve"> es sobre todo la rama </w:t>
      </w:r>
      <w:r>
        <w:rPr>
          <w:rFonts w:ascii="Consolas" w:hAnsi="Consolas"/>
          <w:sz w:val="19"/>
        </w:rPr>
        <w:t>mcp: true</w:t>
      </w:r>
      <w:r>
        <w:t xml:space="preserve"> del agente y el turno con memoria conversacional: las dos levantan un proceso aparte (el servidor MCP, el grafo de LangGraph). </w:t>
      </w:r>
      <w:r>
        <w:rPr>
          <w:b/>
        </w:rPr>
        <w:t>Eso es integración de proceso, no unit</w:t>
      </w:r>
      <w:r>
        <w:t>, y forzarlo con dobles probaría el doble en vez del sistema. Es el siguiente paso natural, en la capa E2E que este módulo todavía no tiene.</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