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de progreso — Agente + MCP (Nivel 4)</w:t>
      </w:r>
    </w:p>
    <w:p>
      <w:r>
        <w:rPr>
          <w:b/>
        </w:rPr>
        <w:t>Módulo 6 · Día 6</w:t>
      </w:r>
      <w:r>
        <w:t xml:space="preserve"> · Entrega del viernes 14 de agosto de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t>Equipo</w:t>
            </w:r>
          </w:p>
        </w:tc>
        <w:tc>
          <w:tcPr>
            <w:tcW w:type="dxa" w:w="4320"/>
          </w:tcPr>
          <w:p>
            <w:r/>
            <w:r>
              <w:t>Individual — Ing. Guillermo Mamani Chambi</w:t>
            </w:r>
          </w:p>
        </w:tc>
      </w:tr>
      <w:tr>
        <w:tc>
          <w:tcPr>
            <w:tcW w:type="dxa" w:w="4320"/>
          </w:tcPr>
          <w:p>
            <w:r/>
            <w:r>
              <w:t>Proyecto</w:t>
            </w:r>
          </w:p>
        </w:tc>
        <w:tc>
          <w:tcPr>
            <w:tcW w:type="dxa" w:w="4320"/>
          </w:tcPr>
          <w:p>
            <w:r/>
            <w:r>
              <w:t>BIOMED UMSS — Plataforma de Cariotipado Inteligente</w:t>
            </w:r>
          </w:p>
        </w:tc>
      </w:tr>
      <w:tr>
        <w:tc>
          <w:tcPr>
            <w:tcW w:type="dxa" w:w="4320"/>
          </w:tcPr>
          <w:p>
            <w:r/>
            <w:r>
              <w:t>Repositorio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https://github.com/guillemc92/karyoumss</w:t>
            </w:r>
          </w:p>
        </w:tc>
      </w:tr>
      <w:tr>
        <w:tc>
          <w:tcPr>
            <w:tcW w:type="dxa" w:w="4320"/>
          </w:tcPr>
          <w:p>
            <w:r/>
            <w:r>
              <w:t>Rama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feature/clinic-django-stack</w:t>
            </w:r>
          </w:p>
        </w:tc>
      </w:tr>
      <w:tr>
        <w:tc>
          <w:tcPr>
            <w:tcW w:type="dxa" w:w="4320"/>
          </w:tcPr>
          <w:p>
            <w:r/>
            <w:r>
              <w:t>Modelo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llama3.2:3b</w:t>
            </w:r>
            <w:r>
              <w:t xml:space="preserve"> — versión fija, nunca </w:t>
            </w:r>
            <w:r>
              <w:rPr>
                <w:rFonts w:ascii="Consolas" w:hAnsi="Consolas"/>
                <w:sz w:val="19"/>
              </w:rPr>
              <w:t>latest</w:t>
            </w:r>
          </w:p>
        </w:tc>
      </w:tr>
      <w:tr>
        <w:tc>
          <w:tcPr>
            <w:tcW w:type="dxa" w:w="4320"/>
          </w:tcPr>
          <w:p>
            <w:r/>
            <w:r>
              <w:t>Proveedor</w:t>
            </w:r>
          </w:p>
        </w:tc>
        <w:tc>
          <w:tcPr>
            <w:tcW w:type="dxa" w:w="4320"/>
          </w:tcPr>
          <w:p>
            <w:r/>
            <w:r>
              <w:t>Ollama local (</w:t>
            </w:r>
            <w:r>
              <w:rPr>
                <w:rFonts w:ascii="Consolas" w:hAnsi="Consolas"/>
                <w:sz w:val="19"/>
              </w:rPr>
              <w:t>http://localhost:11434/v1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Embeddings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9"/>
              </w:rPr>
              <w:t>nomic-embed-text</w:t>
            </w:r>
            <w:r>
              <w:t xml:space="preserve"> local</w:t>
            </w:r>
          </w:p>
        </w:tc>
      </w:tr>
    </w:tbl>
    <w:p/>
    <w:p/>
    <w:p>
      <w:pPr>
        <w:pStyle w:val="Heading2"/>
      </w:pPr>
      <w:r>
        <w:t>1. Definition of Done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Requisito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Estado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Evidencia</w:t>
            </w:r>
          </w:p>
        </w:tc>
      </w:tr>
      <w:tr>
        <w:tc>
          <w:tcPr>
            <w:tcW w:type="dxa" w:w="2880"/>
          </w:tcPr>
          <w:p>
            <w:r/>
            <w:r>
              <w:t>Bucle ReAct con tope de pasos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apps/samples/agente.py</w:t>
            </w:r>
            <w:r>
              <w:t xml:space="preserve">, </w:t>
            </w:r>
            <w:r>
              <w:rPr>
                <w:rFonts w:ascii="Consolas" w:hAnsi="Consolas"/>
                <w:sz w:val="19"/>
              </w:rPr>
              <w:t>MAX_PASOS = 6</w:t>
            </w:r>
          </w:p>
        </w:tc>
      </w:tr>
      <w:tr>
        <w:tc>
          <w:tcPr>
            <w:tcW w:type="dxa" w:w="2880"/>
          </w:tcPr>
          <w:p>
            <w:r/>
            <w:r>
              <w:t>Multipaso encadenando ≥2 herramientas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t>traza de 6 pasos, §3.2</w:t>
            </w:r>
          </w:p>
        </w:tc>
      </w:tr>
      <w:tr>
        <w:tc>
          <w:tcPr>
            <w:tcW w:type="dxa" w:w="2880"/>
          </w:tcPr>
          <w:p>
            <w:r/>
            <w:r>
              <w:t>4 tools en servidor MCP propio</w:t>
            </w:r>
          </w:p>
        </w:tc>
        <w:tc>
          <w:tcPr>
            <w:tcW w:type="dxa" w:w="2880"/>
          </w:tcPr>
          <w:p>
            <w:r/>
            <w:r>
              <w:t xml:space="preserve">✅ </w:t>
            </w:r>
            <w:r>
              <w:rPr>
                <w:b/>
              </w:rPr>
              <w:t>6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servidor_mcp.py</w:t>
            </w:r>
          </w:p>
        </w:tc>
      </w:tr>
      <w:tr>
        <w:tc>
          <w:tcPr>
            <w:tcW w:type="dxa" w:w="2880"/>
          </w:tcPr>
          <w:p>
            <w:r/>
            <w:r>
              <w:t>Cliente que descubre por protocolo, sin import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cliente_mcp.py</w:t>
            </w:r>
          </w:p>
        </w:tc>
      </w:tr>
      <w:tr>
        <w:tc>
          <w:tcPr>
            <w:tcW w:type="dxa" w:w="2880"/>
          </w:tcPr>
          <w:p>
            <w:r/>
            <w:r>
              <w:t>Escritura solo con confirmación explícita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agente_escritura.py</w:t>
            </w:r>
            <w:r>
              <w:t>, §4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POST /agente</w:t>
            </w:r>
            <w:r>
              <w:t xml:space="preserve"> con respuesta + traza</w:t>
            </w:r>
          </w:p>
        </w:tc>
        <w:tc>
          <w:tcPr>
            <w:tcW w:type="dxa" w:w="2880"/>
          </w:tcPr>
          <w:p>
            <w:r/>
            <w:r>
              <w:t>✅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AgenteView</w:t>
            </w:r>
            <w:r>
              <w:t>, §3.1</w:t>
            </w:r>
          </w:p>
        </w:tc>
      </w:tr>
    </w:tbl>
    <w:p/>
    <w:p>
      <w:r>
        <w:rPr>
          <w:b/>
        </w:rPr>
        <w:t>Estado de la escalera:</w:t>
      </w:r>
      <w:r>
        <w:t xml:space="preserve"> niveles 0 a 4 implementados y medidos. El nivel 3 (RAG) se cerró esta misma semana; este informe cubre el 4.</w:t>
      </w:r>
    </w:p>
    <w:p/>
    <w:p>
      <w:pPr>
        <w:pStyle w:val="Heading2"/>
      </w:pPr>
      <w:r>
        <w:t>2. Qué se construyó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apps/samples/agente.py            bucle ReAct: pensamiento → acción → observación</w:t>
        <w:br/>
        <w:t>apps/samples/agente_acciones.py   6 acciones: 4 consultas + RAG + 1 escritura</w:t>
        <w:br/>
        <w:t>apps/samples/agente_escritura.py  el guardrail de confirmación</w:t>
        <w:br/>
        <w:t>apps/samples/mcp_conexion.py      puente: descubrir por protocolo (fase 5)</w:t>
        <w:br/>
        <w:t>servidor_mcp.py                   publica las 6 por stdio/JSON-RPC</w:t>
        <w:br/>
        <w:t>cliente_mcp.py                    las descubre y llama sin importar Django</w:t>
        <w:br/>
        <w:t>apps/samples/views.py → AgenteView   POST /agente</w:t>
      </w:r>
    </w:p>
    <w:p>
      <w:r>
        <w:rPr>
          <w:b/>
        </w:rPr>
        <w:t>El bucle no sabe qué herramientas existen.</w:t>
      </w:r>
      <w:r>
        <w:t xml:space="preserve"> Recibe </w:t>
      </w:r>
      <w:r>
        <w:rPr>
          <w:rFonts w:ascii="Consolas" w:hAnsi="Consolas"/>
          <w:sz w:val="19"/>
        </w:rPr>
        <w:t>(schemas, ejecutar)</w:t>
      </w:r>
      <w:r>
        <w:t>. Por eso el mismo bucle corre con herramientas importadas o descubiertas por MCP: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local  : schemas=agente_acciones.schemas()   ejecutar=agente_acciones.ejecutar</w:t>
        <w:br/>
        <w:t>vía MCP: schemas=conexion.descubrir_tools()  ejecutar=conexion.ejecutar_tool</w:t>
      </w:r>
    </w:p>
    <w:p>
      <w:r>
        <w:t xml:space="preserve">Y los *schemas* de las consultas se </w:t>
      </w:r>
      <w:r>
        <w:rPr>
          <w:b/>
        </w:rPr>
        <w:t>derivan</w:t>
      </w:r>
      <w:r>
        <w:t xml:space="preserve"> del catálogo que ya existía (</w:t>
      </w:r>
      <w:r>
        <w:rPr>
          <w:rFonts w:ascii="Consolas" w:hAnsi="Consolas"/>
          <w:sz w:val="19"/>
        </w:rPr>
        <w:t>tools.py</w:t>
      </w:r>
      <w:r>
        <w:t xml:space="preserve">, del Día 4): una quinta herramienta la vería el agente sin tocar nada. El servidor MCP delega en las mismas funciones. </w:t>
      </w:r>
      <w:r>
        <w:rPr>
          <w:b/>
        </w:rPr>
        <w:t>Una definición, tres transportes</w:t>
      </w:r>
      <w:r>
        <w:t xml:space="preserve"> — HTTP, agente local y MCP.</w:t>
      </w:r>
    </w:p>
    <w:p/>
    <w:p>
      <w:pPr>
        <w:pStyle w:val="Heading2"/>
      </w:pPr>
      <w:r>
        <w:t>3. Recorrido del sistema — qué pasa cuando el usuario pregunta</w:t>
      </w:r>
    </w:p>
    <w:p>
      <w:pPr>
        <w:ind w:left="360"/>
        <w:jc w:val="left"/>
      </w:pPr>
      <w:r>
        <w:rPr>
          <w:i/>
        </w:rPr>
        <w:t>Esta sección existe porque explicar el código importa tanto como escribirlo.</w:t>
      </w:r>
    </w:p>
    <w:p>
      <w:pPr>
        <w:ind w:left="360"/>
        <w:jc w:val="left"/>
      </w:pPr>
      <w:r>
        <w:rPr>
          <w:i/>
        </w:rPr>
        <w:t>Se recorre el camino completo desde que alguien escribe una pregunta en</w:t>
      </w:r>
    </w:p>
    <w:p>
      <w:pPr>
        <w:ind w:left="360"/>
        <w:jc w:val="left"/>
      </w:pPr>
      <w:r>
        <w:rPr>
          <w:i/>
        </w:rPr>
        <w:t>pantalla hasta que ve la respuesta, señalando qué archivo hace cada cosa.</w:t>
      </w:r>
    </w:p>
    <w:p>
      <w:pPr>
        <w:pStyle w:val="Heading3"/>
      </w:pPr>
      <w:r>
        <w:t>3.1 La pantalla que lista las herramientas</w:t>
      </w:r>
    </w:p>
    <w:p>
      <w:r>
        <w:t xml:space="preserve">El analista entra en </w:t>
      </w:r>
      <w:r>
        <w:rPr>
          <w:rFonts w:ascii="Consolas" w:hAnsi="Consolas"/>
          <w:sz w:val="19"/>
        </w:rPr>
        <w:t>/clinic/consultas</w:t>
      </w:r>
      <w:r>
        <w:t xml:space="preserve"> (</w:t>
      </w:r>
      <w:r>
        <w:rPr>
          <w:rFonts w:ascii="Consolas" w:hAnsi="Consolas"/>
          <w:sz w:val="19"/>
        </w:rPr>
        <w:t>ToolQueryPage.tsx</w:t>
      </w:r>
      <w:r>
        <w:t xml:space="preserve">). Lo primero que ve es </w:t>
      </w:r>
      <w:r>
        <w:rPr>
          <w:b/>
        </w:rPr>
        <w:t>la lista de lo que el sistema sabe hacer</w:t>
      </w:r>
      <w:r>
        <w:t>, en lenguaje llano: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cromosomas_para_revision     Lista los cromosomas marcados en naranja…</w:t>
        <w:br/>
        <w:t>casos_pendientes_firma       Lista los casos que el analista ya validó…</w:t>
        <w:br/>
        <w:t>casos_reportados             Lista los casos ya cerrados y firmados…</w:t>
      </w:r>
    </w:p>
    <w:p>
      <w:r>
        <w:t xml:space="preserve">Esa lista </w:t>
      </w:r>
      <w:r>
        <w:rPr>
          <w:b/>
        </w:rPr>
        <w:t>no está escrita en el frontend</w:t>
      </w:r>
      <w:r>
        <w:t xml:space="preserve">. El hook </w:t>
      </w:r>
      <w:r>
        <w:rPr>
          <w:rFonts w:ascii="Consolas" w:hAnsi="Consolas"/>
          <w:sz w:val="19"/>
        </w:rPr>
        <w:t>useToolCatalogo</w:t>
      </w:r>
      <w:r>
        <w:t xml:space="preserve"> pide </w:t>
      </w:r>
      <w:r>
        <w:rPr>
          <w:rFonts w:ascii="Consolas" w:hAnsi="Consolas"/>
          <w:sz w:val="19"/>
        </w:rPr>
        <w:t>GET /api/clinic/tools/query/</w:t>
      </w:r>
      <w:r>
        <w:t xml:space="preserve">, que responde con el catálogo publicado por </w:t>
      </w:r>
      <w:r>
        <w:rPr>
          <w:rFonts w:ascii="Consolas" w:hAnsi="Consolas"/>
          <w:sz w:val="19"/>
        </w:rPr>
        <w:t>tools.py</w:t>
      </w:r>
      <w:r>
        <w:t xml:space="preserve">. Cada herramienta lleva su </w:t>
      </w:r>
      <w:r>
        <w:rPr>
          <w:rFonts w:ascii="Consolas" w:hAnsi="Consolas"/>
          <w:sz w:val="19"/>
        </w:rPr>
        <w:t>description</w:t>
      </w:r>
      <w:r>
        <w:t xml:space="preserve">, y </w:t>
      </w:r>
      <w:r>
        <w:rPr>
          <w:b/>
        </w:rPr>
        <w:t>esa descripción es a la vez lo que lee el usuario y lo que lee el modelo</w:t>
      </w:r>
      <w:r>
        <w:t xml:space="preserve"> para decidir si la usa. Por eso escribir descripciones es escribir código: si una descripción es ambigua, se equivocan los dos.</w:t>
      </w:r>
    </w:p>
    <w:p>
      <w:r>
        <w:t>Si mañana se añade una séptima herramienta al catálogo, aparece sola en la pantalla y en las opciones del modelo. Nadie toca el frontend.</w:t>
      </w:r>
    </w:p>
    <w:p>
      <w:pPr>
        <w:pStyle w:val="Heading3"/>
      </w:pPr>
      <w:r>
        <w:t>3.2 La pregunta baja al backend y se decide el camino</w:t>
      </w:r>
    </w:p>
    <w:p>
      <w:r>
        <w:t xml:space="preserve">El usuario escribe «¿qué cromosomas están naranjas?» y el frontend hace </w:t>
      </w:r>
      <w:r>
        <w:rPr>
          <w:rFonts w:ascii="Consolas" w:hAnsi="Consolas"/>
          <w:sz w:val="19"/>
        </w:rPr>
        <w:t>POST /api/clinic/tools/query/</w:t>
      </w:r>
      <w:r>
        <w:t xml:space="preserve">. En </w:t>
      </w:r>
      <w:r>
        <w:rPr>
          <w:rFonts w:ascii="Consolas" w:hAnsi="Consolas"/>
          <w:sz w:val="19"/>
        </w:rPr>
        <w:t>tool_router.py</w:t>
      </w:r>
      <w:r>
        <w:t xml:space="preserve"> se decide </w:t>
      </w:r>
      <w:r>
        <w:rPr>
          <w:b/>
        </w:rPr>
        <w:t>cómo</w:t>
      </w:r>
      <w:r>
        <w:t xml:space="preserve"> se va a resolver, y el camino elegido se devuelve al frontend para que se vea en pantalla: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KEYWORD    una palabra del catálogo coincide  → se ejecuta SIN modelo</w:t>
        <w:br/>
        <w:t>LLM        no coincide nada                   → el modelo elige la herramienta</w:t>
        <w:br/>
        <w:t>RAG        es una pregunta de documentación   → va al corpus</w:t>
        <w:br/>
        <w:t>SIN_MATCH  nadie puede responder              → se dice que no se sabe</w:t>
      </w:r>
    </w:p>
    <w:p>
      <w:r>
        <w:t xml:space="preserve">El modelo </w:t>
      </w:r>
      <w:r>
        <w:rPr>
          <w:b/>
        </w:rPr>
        <w:t>solo elige un nombre</w:t>
      </w:r>
      <w:r>
        <w:t xml:space="preserve">. No redacta la respuesta ni toca los datos: las filas salen de una consulta a PostgreSQL en </w:t>
      </w:r>
      <w:r>
        <w:rPr>
          <w:rFonts w:ascii="Consolas" w:hAnsi="Consolas"/>
          <w:sz w:val="19"/>
        </w:rPr>
        <w:t>tools.py</w:t>
      </w:r>
      <w:r>
        <w:t xml:space="preserve">. Por eso la pantalla muestra siempre </w:t>
      </w:r>
      <w:r>
        <w:rPr>
          <w:rFonts w:ascii="Consolas" w:hAnsi="Consolas"/>
          <w:sz w:val="19"/>
        </w:rPr>
        <w:t>tool</w:t>
      </w:r>
      <w:r>
        <w:t xml:space="preserve"> y </w:t>
      </w:r>
      <w:r>
        <w:rPr>
          <w:rFonts w:ascii="Consolas" w:hAnsi="Consolas"/>
          <w:sz w:val="19"/>
        </w:rPr>
        <w:t>source</w:t>
      </w:r>
      <w:r>
        <w:t xml:space="preserve"> — la tabla real de la que salió el dato. Un usuario puede distinguir un dato consultado de uno inventado, que es justamente lo que esta arquitectura hace imposible.</w:t>
      </w:r>
    </w:p>
    <w:p>
      <w:pPr>
        <w:pStyle w:val="Heading3"/>
      </w:pPr>
      <w:r>
        <w:t>3.3 Cuando hace falta encadenar, entra el agente</w:t>
      </w:r>
    </w:p>
    <w:p>
      <w:r>
        <w:t>Las preguntas de un solo paso terminan ahí. Otras no:</w:t>
      </w:r>
    </w:p>
    <w:p>
      <w:pPr>
        <w:ind w:left="360"/>
        <w:jc w:val="left"/>
      </w:pPr>
      <w:r>
        <w:rPr>
          <w:i/>
        </w:rPr>
        <w:t>«¿Hay cromosomas pendientes de revisar, y por qué hay que revisarlos?»</w:t>
      </w:r>
    </w:p>
    <w:p>
      <w:r>
        <w:t xml:space="preserve">La primera mitad es estado (una herramienta), la segunda es una regla (el corpus). Ese caso va a </w:t>
      </w:r>
      <w:r>
        <w:rPr>
          <w:rFonts w:ascii="Consolas" w:hAnsi="Consolas"/>
          <w:sz w:val="19"/>
        </w:rPr>
        <w:t>POST /api/clinic/agente/</w:t>
      </w:r>
      <w:r>
        <w:t xml:space="preserve">, y </w:t>
      </w:r>
      <w:r>
        <w:rPr>
          <w:rFonts w:ascii="Consolas" w:hAnsi="Consolas"/>
          <w:sz w:val="19"/>
        </w:rPr>
        <w:t>agente.py</w:t>
      </w:r>
      <w:r>
        <w:t xml:space="preserve"> abre el bucle </w:t>
      </w:r>
      <w:r>
        <w:rPr>
          <w:b/>
        </w:rPr>
        <w:t>pensar → actuar → observar</w:t>
      </w:r>
      <w:r>
        <w:t xml:space="preserve"> hasta que el modelo responde con texto en vez de pedir otra herramienta, o hasta agotar </w:t>
      </w:r>
      <w:r>
        <w:rPr>
          <w:rFonts w:ascii="Consolas" w:hAnsi="Consolas"/>
          <w:sz w:val="19"/>
        </w:rPr>
        <w:t>MAX_PASOS</w:t>
      </w:r>
      <w:r>
        <w:t>.</w:t>
      </w:r>
    </w:p>
    <w:p>
      <w:r>
        <w:t xml:space="preserve">El bucle </w:t>
      </w:r>
      <w:r>
        <w:rPr>
          <w:b/>
        </w:rPr>
        <w:t>no sabe qué herramientas existen</w:t>
      </w:r>
      <w:r>
        <w:t xml:space="preserve">. Recibe dos cosas: la lista de </w:t>
      </w:r>
      <w:r>
        <w:rPr>
          <w:rFonts w:ascii="Consolas" w:hAnsi="Consolas"/>
          <w:sz w:val="19"/>
        </w:rPr>
        <w:t>schemas</w:t>
      </w:r>
      <w:r>
        <w:t xml:space="preserve"> y una función </w:t>
      </w:r>
      <w:r>
        <w:rPr>
          <w:rFonts w:ascii="Consolas" w:hAnsi="Consolas"/>
          <w:sz w:val="19"/>
        </w:rPr>
        <w:t>ejecutar</w:t>
      </w:r>
      <w:r>
        <w:t>. Ese desacople es lo que permite el paso siguiente sin reescribir nada.</w:t>
      </w:r>
    </w:p>
    <w:p>
      <w:pPr>
        <w:pStyle w:val="Heading3"/>
      </w:pPr>
      <w:r>
        <w:t>3.4 La comunicación con el MCP, paso a paso</w:t>
      </w:r>
    </w:p>
    <w:p>
      <w:r>
        <w:t xml:space="preserve">Si la petición lleva </w:t>
      </w:r>
      <w:r>
        <w:rPr>
          <w:rFonts w:ascii="Consolas" w:hAnsi="Consolas"/>
          <w:sz w:val="19"/>
        </w:rPr>
        <w:t>"mcp": true</w:t>
      </w:r>
      <w:r>
        <w:t xml:space="preserve">, las herramientas </w:t>
      </w:r>
      <w:r>
        <w:rPr>
          <w:b/>
        </w:rPr>
        <w:t>ya no se importan: se descubren hablando el protocolo</w:t>
      </w:r>
      <w:r>
        <w:t>. Esto es lo que ocurre por dentro: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1. mcp_conexion.py lanza `python servidor_mcp.py` como PROCESO HIJO</w:t>
        <w:br/>
        <w:t xml:space="preserve">   No hay puerto ni red: se hablan por stdin/stdout (JSON-RPC 2.0).</w:t>
        <w:br/>
        <w:br/>
        <w:t>2. initialize          handshake de la sesión</w:t>
        <w:br/>
        <w:br/>
        <w:t>3. tools/list          el servidor devuelve las 6 herramientas con su</w:t>
        <w:br/>
        <w:t xml:space="preserve">                       nombre, su descripción y su JSON Schema</w:t>
        <w:br/>
        <w:br/>
        <w:t>4. se traduce el schema al formato que espera el SDK del modelo:</w:t>
        <w:br/>
        <w:t xml:space="preserve">   {"type": "function", "function": {name, description, parameters}}</w:t>
        <w:br/>
        <w:t xml:space="preserve">   Es el MISMO JSON Schema con otro envoltorio.</w:t>
        <w:br/>
        <w:br/>
        <w:t>5. tools/call          cuando el modelo pide una herramienta, se invoca</w:t>
        <w:br/>
        <w:t xml:space="preserve">                       por protocolo y la observación vuelve al bucle</w:t>
      </w:r>
    </w:p>
    <w:p>
      <w:r>
        <w:t xml:space="preserve">En </w:t>
      </w:r>
      <w:r>
        <w:rPr>
          <w:rFonts w:ascii="Consolas" w:hAnsi="Consolas"/>
          <w:sz w:val="19"/>
        </w:rPr>
        <w:t>servidor_mcp.py</w:t>
      </w:r>
      <w:r>
        <w:t xml:space="preserve"> publicar una herramienta es </w:t>
      </w:r>
      <w:r>
        <w:rPr>
          <w:b/>
        </w:rPr>
        <w:t>un decorador</w:t>
      </w:r>
      <w:r>
        <w:t xml:space="preserve">: </w:t>
      </w:r>
      <w:r>
        <w:rPr>
          <w:rFonts w:ascii="Consolas" w:hAnsi="Consolas"/>
          <w:sz w:val="19"/>
        </w:rPr>
        <w:t>@mcp.tool()</w:t>
      </w:r>
      <w:r>
        <w:t xml:space="preserve"> sobre una función que delega en el catálogo que ya existía. La lógica no se duplica — si hay un fallo, se arregla en un solo sitio.</w:t>
      </w:r>
    </w:p>
    <w:p>
      <w:r>
        <w:t xml:space="preserve">Y el bucle del agente es </w:t>
      </w:r>
      <w:r>
        <w:rPr>
          <w:b/>
        </w:rPr>
        <w:t>exactamente el mismo</w:t>
      </w:r>
      <w:r>
        <w:t xml:space="preserve"> en los dos modos: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sin MCP:  schemas=agente_acciones.schemas()   ejecutar=agente_acciones.ejecutar</w:t>
        <w:br/>
        <w:t>con MCP:  schemas=conexion.descubrir_tools()  ejecutar=conexion.ejecutar_tool</w:t>
      </w:r>
    </w:p>
    <w:p>
      <w:r>
        <w:t xml:space="preserve">Cambia el enchufe, no la lógica. </w:t>
      </w:r>
      <w:r>
        <w:rPr>
          <w:rFonts w:ascii="Consolas" w:hAnsi="Consolas"/>
          <w:sz w:val="19"/>
        </w:rPr>
        <w:t>cliente_mcp.py</w:t>
      </w:r>
      <w:r>
        <w:t xml:space="preserve"> lo demuestra: descubre y ejecuta las 6 herramientas </w:t>
      </w:r>
      <w:r>
        <w:rPr>
          <w:b/>
        </w:rPr>
        <w:t>sin importar Django ni el catálogo</w:t>
      </w:r>
      <w:r>
        <w:t>, hablando solo el protocolo.</w:t>
      </w:r>
    </w:p>
    <w:p>
      <w:pPr>
        <w:pStyle w:val="Heading3"/>
      </w:pPr>
      <w:r>
        <w:t>3.5 Qué ve el usuario al final</w:t>
      </w:r>
    </w:p>
    <w:p>
      <w:r>
        <w:t xml:space="preserve">La respuesta vuelve con la </w:t>
      </w:r>
      <w:r>
        <w:rPr>
          <w:b/>
        </w:rPr>
        <w:t>traza completa</w:t>
      </w:r>
      <w:r>
        <w:t>: cada paso con su tipo —acción, observación, respuesta— y el consumo de tokens. No es información de depuración: es lo que permite comprobar si el agente encadenó de verdad o rellenó el hueco inventando. Sin ella, un agente es un oráculo.</w:t>
      </w:r>
    </w:p>
    <w:p/>
    <w:p>
      <w:pPr>
        <w:pStyle w:val="Heading2"/>
      </w:pPr>
      <w:r>
        <w:t>4. Traza — la evidencia</w:t>
      </w:r>
    </w:p>
    <w:p>
      <w:pPr>
        <w:pStyle w:val="Heading3"/>
      </w:pPr>
      <w:r>
        <w:t>4.1 `POST /agente` — caso simple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POST /api/clinic/agente/  {"pregunta": "¿Qué casos están reportados?"}</w:t>
        <w:br/>
        <w:t>→ 200</w:t>
        <w:br/>
        <w:br/>
        <w:t>[01] pregunta     ¿Qué casos están reportados?</w:t>
        <w:br/>
        <w:t>[02] accion       CASOS_REPORTADOS({})</w:t>
        <w:br/>
        <w:t>[03] observacion  {"herramienta":"CASOS_REPORTADOS","fuente":"clinic_samples","n":2,…}</w:t>
        <w:br/>
        <w:t>[04] respuesta    Hay dos casos reportados: CHN-2026-08-06-2574 y CHN-DEMO-T21.</w:t>
        <w:br/>
        <w:br/>
        <w:t>pasos 4/6 · tokens 1.853 entrada / 43 salida · 300 s · completado: sí</w:t>
      </w:r>
    </w:p>
    <w:p>
      <w:pPr>
        <w:pStyle w:val="Heading3"/>
      </w:pPr>
      <w:r>
        <w:t>4.2 Multipaso — encadena herramienta + RAG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[01] pregunta     ¿Hay cromosomas pendientes de revisar, y por qué hay que revisarlos?</w:t>
        <w:br/>
        <w:t>[02] accion       CROMOSOMAS_PARA_REVISION({})</w:t>
        <w:br/>
        <w:t>[03] observacion  {"n":50,"fuente":"clinic_chromosomes",…}</w:t>
        <w:br/>
        <w:t>[04] accion       buscar_documentacion({"pregunta":"por qué revisar cromosomas…"})</w:t>
        <w:br/>
        <w:t>[05] observacion  {"encontrado":true,"fuentes":[…]}</w:t>
        <w:br/>
        <w:t>[06] respuesta    …</w:t>
        <w:br/>
        <w:br/>
        <w:t>pasos 6/6 · tokens 2.705 / 279 · 843 s</w:t>
      </w:r>
    </w:p>
    <w:p>
      <w:r>
        <w:t xml:space="preserve">Ninguna de las dos preguntas la resuelve un nivel inferior: la primera necesita el estado, la segunda necesita </w:t>
      </w:r>
      <w:r>
        <w:rPr>
          <w:b/>
        </w:rPr>
        <w:t>estado y regla</w:t>
      </w:r>
      <w:r>
        <w:t>.</w:t>
      </w:r>
    </w:p>
    <w:p>
      <w:pPr>
        <w:pStyle w:val="Heading3"/>
      </w:pPr>
      <w:r>
        <w:t>4.3 Las 6 herramientas descubiertas por protocolo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$ python cliente_mcp.py</w:t>
        <w:br/>
        <w:t>6 herramientas via JSON-RPC:</w:t>
        <w:br/>
        <w:t xml:space="preserve">  cromosomas_para_revision     Lista los cromosomas marcados en naranja…</w:t>
        <w:br/>
        <w:t xml:space="preserve">  casos_pendientes_firma       Lista los casos que el analista ya validó…</w:t>
        <w:br/>
        <w:t xml:space="preserve">  casos_reportados             Lista los casos ya cerrados y firmados…</w:t>
        <w:br/>
        <w:t xml:space="preserve">  casos_en_proceso             Lista las muestras que el sistema analiza…</w:t>
        <w:br/>
        <w:t xml:space="preserve">  buscar_documentacion         Busca en la documentación del laboratorio…</w:t>
        <w:br/>
        <w:t xml:space="preserve">  preparar_validacion_de_caso  Prepara la validación de un caso…</w:t>
        <w:br/>
        <w:br/>
        <w:t>Este cliente NO importa Django ni tools.py: solo habla el protocolo.</w:t>
      </w:r>
    </w:p>
    <w:p/>
    <w:p>
      <w:pPr>
        <w:pStyle w:val="Heading2"/>
      </w:pPr>
      <w:r>
        <w:t>5. El guardrail de escritura, y por qué aquí es más estricto</w:t>
      </w:r>
    </w:p>
    <w:p>
      <w:r>
        <w:t xml:space="preserve">El laboratorio de clase permite que </w:t>
      </w:r>
      <w:r>
        <w:rPr>
          <w:rFonts w:ascii="Consolas" w:hAnsi="Consolas"/>
          <w:sz w:val="19"/>
        </w:rPr>
        <w:t>confirmado=true</w:t>
      </w:r>
      <w:r>
        <w:t xml:space="preserve"> cancele el pedido. </w:t>
      </w:r>
      <w:r>
        <w:rPr>
          <w:b/>
        </w:rPr>
        <w:t>Aquí nunca ejecuta</w:t>
      </w:r>
      <w:r>
        <w:t>, y la diferencia es de dominio, no de implementación.</w:t>
      </w:r>
    </w:p>
    <w:p>
      <w:r>
        <w:t>AGENTS.md, RN-01, literal:</w:t>
      </w:r>
    </w:p>
    <w:p>
      <w:pPr>
        <w:ind w:left="360"/>
        <w:jc w:val="left"/>
      </w:pPr>
      <w:r>
        <w:rPr>
          <w:i/>
        </w:rPr>
        <w:t>Ningún informe puede emitirse sin: (a) validación manual del analista de TODOS</w:t>
      </w:r>
    </w:p>
    <w:p>
      <w:pPr>
        <w:ind w:left="360"/>
        <w:jc w:val="left"/>
      </w:pPr>
      <w:r>
        <w:rPr>
          <w:i/>
        </w:rPr>
        <w:t>los cromosomas naranjas (b) firma digital del supervisor (MFA obligatorio)</w:t>
      </w:r>
    </w:p>
    <w:p>
      <w:r>
        <w:t>RN-06 añade que Supervisor y Analista no pueden ser el mismo usuario. Un proceso automático no cumple ninguna: no es un analista identificado ni puede aportar un segundo factor. Cancelar una compra es reversible y lo autoriza su dueño; validar un cariotipo es un acto clínico que firma un profesional con su nombre.</w:t>
      </w:r>
    </w:p>
    <w:p>
      <w:r>
        <w:rPr>
          <w:b/>
        </w:rPr>
        <w:t>Con `confirmado=false`</w:t>
      </w:r>
      <w:r>
        <w:t xml:space="preserve"> devuelve el trabajo preparado: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{"caso": "CHN-2026-08-06-0001", "estado_actual": "READY",</w:t>
        <w:br/>
        <w:t xml:space="preserve"> "naranjas_sin_resolver": 32,</w:t>
        <w:br/>
        <w:t xml:space="preserve"> "bloqueos": ["32 cromosoma(s) naranja sin resolver (RN-02)"],</w:t>
        <w:br/>
        <w:t xml:space="preserve"> "quien_puede_hacerlo": "un analista identificado, desde la aplicación. No el agente: RN-01."}</w:t>
      </w:r>
    </w:p>
    <w:p>
      <w:r>
        <w:rPr>
          <w:b/>
        </w:rPr>
        <w:t>Con `confirmado=true`</w:t>
      </w:r>
      <w:r>
        <w:t xml:space="preserve">, llamado </w:t>
      </w:r>
      <w:r>
        <w:rPr>
          <w:b/>
        </w:rPr>
        <w:t>desde el cliente MCP externo</w:t>
      </w:r>
      <w:r>
        <w:t xml:space="preserve"> —que no conoce RN-01—: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{"ejecutado": false, "motivo": "RN-01",</w:t>
        <w:br/>
        <w:t xml:space="preserve"> "detalle": "Un agente no puede validar un caso. RN-01 exige validación manual</w:t>
        <w:br/>
        <w:t xml:space="preserve">             del analista y firma del supervisor con MFA; RN-06 exige además</w:t>
        <w:br/>
        <w:t xml:space="preserve">             que no sean la misma persona."}</w:t>
      </w:r>
    </w:p>
    <w:p>
      <w:r>
        <w:t xml:space="preserve">El guardrail vive </w:t>
      </w:r>
      <w:r>
        <w:rPr>
          <w:b/>
        </w:rPr>
        <w:t>en la herramienta</w:t>
      </w:r>
      <w:r>
        <w:t>, no en el bucle. Si viviera en el bucle solo protegería a nuestro agente; puesto en la herramienta viaja con ella por MCP a cualquier cliente que la descubra.</w:t>
      </w:r>
    </w:p>
    <w:p/>
    <w:p>
      <w:pPr>
        <w:pStyle w:val="Heading2"/>
      </w:pPr>
      <w:r>
        <w:t>6. Qué no funcionó — hallazgos medidos</w:t>
      </w:r>
    </w:p>
    <w:p>
      <w:pPr>
        <w:pStyle w:val="Heading3"/>
      </w:pPr>
      <w:r>
        <w:t>6.1 El modelo de 3B no encadenaba, y rellenaba el hueco inventando</w:t>
      </w:r>
    </w:p>
    <w:p>
      <w:r>
        <w:t xml:space="preserve">Ante «¿hay cromosomas pendientes, y por qué hay que revisarlos?» hacía </w:t>
      </w:r>
      <w:r>
        <w:rPr>
          <w:b/>
        </w:rPr>
        <w:t>una</w:t>
      </w:r>
      <w:r>
        <w:t xml:space="preserve"> consulta y se inventaba la segunda mitad. Dio un umbral del </w:t>
      </w:r>
      <w:r>
        <w:rPr>
          <w:b/>
        </w:rPr>
        <w:t>90%</w:t>
      </w:r>
      <w:r>
        <w:t xml:space="preserve"> —el real es 85%, y está en el corpus a una llamada de distancia— y lo encabezó con *«según la herramienta de consulta»*.</w:t>
      </w:r>
    </w:p>
    <w:p>
      <w:r>
        <w:t xml:space="preserve">Inventar es grave; </w:t>
      </w:r>
      <w:r>
        <w:rPr>
          <w:b/>
        </w:rPr>
        <w:t>atribuirlo a una fuente que no lo dijo, más</w:t>
      </w:r>
      <w:r>
        <w:t>. Y solo se ve mirando la traza: sin ella, la respuesta parece fundamentada. Es exactamente el argumento de por qué la traza es un guardrail y no una utilidad de depuración.</w:t>
      </w:r>
    </w:p>
    <w:p>
      <w:r>
        <w:t>Corregido reforzando las instrucciones con el ejemplo concreto y prohibiciones explícitas. Ahora encadena (§3.2).</w:t>
      </w:r>
    </w:p>
    <w:p>
      <w:pPr>
        <w:pStyle w:val="Heading3"/>
      </w:pPr>
      <w:r>
        <w:t>6.2 Medir el RAG aislado no predice su comportamiento dentro del agente</w:t>
      </w:r>
    </w:p>
    <w:p>
      <w:r>
        <w:t xml:space="preserve">El RAG mide </w:t>
      </w:r>
      <w:r>
        <w:rPr>
          <w:b/>
        </w:rPr>
        <w:t>89%</w:t>
      </w:r>
      <w:r>
        <w:t xml:space="preserve"> (16/18) con preguntas escritas por una persona. Dentro del bucle las escribe el modelo, y las escribe peor: reformuló la consulta como «por qué revisar cromosomas pendientes» y recuperó ADR-0027 —un documento sobre similitud vectorial— con el que construyó una respuesta sin sentido.</w:t>
      </w:r>
    </w:p>
    <w:p>
      <w:r>
        <w:t xml:space="preserve">La misma pregunta escrita como «¿por qué el sistema marca cromosomas en naranja?» </w:t>
      </w:r>
      <w:r>
        <w:rPr>
          <w:b/>
        </w:rPr>
        <w:t>sí</w:t>
      </w:r>
      <w:r>
        <w:t xml:space="preserve"> la acierta; está en el banco de evaluación.</w:t>
      </w:r>
    </w:p>
    <w:p>
      <w:r>
        <w:rPr>
          <w:b/>
        </w:rPr>
        <w:t>Consecuencia metodológica:</w:t>
      </w:r>
      <w:r>
        <w:t xml:space="preserve"> un componente medido aislado no queda validado para su uso dentro de un agente. Queda pendiente volver a medir el RAG con las consultas que genera el modelo.</w:t>
      </w:r>
    </w:p>
    <w:p>
      <w:pPr>
        <w:pStyle w:val="Heading3"/>
      </w:pPr>
      <w:r>
        <w:t>6.3 El umbral de similitud no decide (nivel 3, se arrastra al 4)</w:t>
      </w:r>
    </w:p>
    <w:p>
      <w:r>
        <w:t>Medido sobre 18 preguntas etiquetadas: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cubiertas por el corpus   similitud top-1: 0.601 – 0.695</w:t>
        <w:br/>
        <w:t>fuera del corpus          similitud top-1: 0.608 – 0.662</w:t>
      </w:r>
    </w:p>
    <w:p>
      <w:r>
        <w:t xml:space="preserve">El rango a rechazar cae </w:t>
      </w:r>
      <w:r>
        <w:rPr>
          <w:b/>
        </w:rPr>
        <w:t>dentro</w:t>
      </w:r>
      <w:r>
        <w:t xml:space="preserve"> del rango bueno. Barrido de 0.50 a 0.75: 56% en todos los valores útiles. El coseno mide parecido temático y el corpus es monotemático. Se resolvió separando responsabilidades — el índice recupera, el modelo decide — y el juez se midió </w:t>
      </w:r>
      <w:r>
        <w:rPr>
          <w:b/>
        </w:rPr>
        <w:t>dos veces</w:t>
      </w:r>
      <w:r>
        <w:t xml:space="preserve">: la primera versión (39%) era </w:t>
      </w:r>
      <w:r>
        <w:rPr>
          <w:b/>
        </w:rPr>
        <w:t>peor que no tener juez</w:t>
      </w:r>
      <w:r>
        <w:t xml:space="preserve"> (56%); la segunda llega a 89%.</w:t>
      </w:r>
    </w:p>
    <w:p>
      <w:pPr>
        <w:pStyle w:val="Heading3"/>
      </w:pPr>
      <w:r>
        <w:t>6.4 Latencia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t>Consulta simple (4 pasos)</w:t>
            </w:r>
          </w:p>
        </w:tc>
        <w:tc>
          <w:tcPr>
            <w:tcW w:type="dxa" w:w="4320"/>
          </w:tcPr>
          <w:p>
            <w:r/>
            <w:r>
              <w:t>~300 s</w:t>
            </w:r>
          </w:p>
        </w:tc>
      </w:tr>
      <w:tr>
        <w:tc>
          <w:tcPr>
            <w:tcW w:type="dxa" w:w="4320"/>
          </w:tcPr>
          <w:p>
            <w:r/>
            <w:r>
              <w:t>Multipaso (6 pasos)</w:t>
            </w:r>
          </w:p>
        </w:tc>
        <w:tc>
          <w:tcPr>
            <w:tcW w:type="dxa" w:w="4320"/>
          </w:tcPr>
          <w:p>
            <w:r/>
            <w:r>
              <w:t>~843 s</w:t>
            </w:r>
          </w:p>
        </w:tc>
      </w:tr>
    </w:tbl>
    <w:p/>
    <w:p>
      <w:r>
        <w:t>Cada paso reenvía todo el historial y todos los *schemas*. Con un 3B en CPU, el nivel 4 no es utilizable de forma interactiva. Es un dato para decidir dónde aplicarlo, no un fallo del diseño.</w:t>
      </w:r>
    </w:p>
    <w:p/>
    <w:p>
      <w:pPr>
        <w:pStyle w:val="Heading3"/>
      </w:pPr>
      <w:r>
        <w:t>6.5 Integrar el RAG en el enrutador costó dos aciertos — medido con A/B</w:t>
      </w:r>
    </w:p>
    <w:p>
      <w:r>
        <w:t xml:space="preserve">Al añadir </w:t>
      </w:r>
      <w:r>
        <w:rPr>
          <w:rFonts w:ascii="Consolas" w:hAnsi="Consolas"/>
          <w:sz w:val="19"/>
        </w:rPr>
        <w:t>DOCUMENTACION</w:t>
      </w:r>
      <w:r>
        <w:t xml:space="preserve"> como cuarto camino, el banco de 56 preguntas bajó de </w:t>
      </w:r>
      <w:r>
        <w:rPr>
          <w:b/>
        </w:rPr>
        <w:t>48/56 (86%) a 44/56 (79%)</w:t>
      </w:r>
      <w:r>
        <w:t xml:space="preserve">. Para saber si era regresión o efecto de las etiquetas se reprodujo el estado anterior en un *worktree* de git sobre el commit previo al RAG, con </w:t>
      </w:r>
      <w:r>
        <w:rPr>
          <w:b/>
        </w:rPr>
        <w:t>el mismo banco, la misma base y el mismo modelo</w:t>
      </w:r>
      <w:r>
        <w:t xml:space="preserve">: dio </w:t>
      </w:r>
      <w:r>
        <w:rPr>
          <w:b/>
        </w:rPr>
        <w:t>48/56 exacto</w:t>
      </w:r>
      <w:r>
        <w:t>. La causa queda aislada en la integración del RAG.</w:t>
      </w:r>
    </w:p>
    <w:p>
      <w:r>
        <w:t>Comparando los fallos uno a uno —8 antes, 12 después— el saldo real es otro: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7 fallos ya existían</w:t>
            </w:r>
            <w:r>
              <w:t xml:space="preserve"> y fallan igual</w:t>
            </w:r>
          </w:p>
        </w:tc>
        <w:tc>
          <w:tcPr>
            <w:tcW w:type="dxa" w:w="4320"/>
          </w:tcPr>
          <w:p>
            <w:r/>
            <w:r>
              <w:t>no son regresión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3 nuevos son fallo por etiqueta, acierto por diseño</w:t>
            </w:r>
          </w:p>
        </w:tc>
        <w:tc>
          <w:tcPr>
            <w:tcW w:type="dxa" w:w="4320"/>
          </w:tcPr>
          <w:p>
            <w:r/>
            <w:r>
              <w:t>el RAG las responde; el banco es anterior a esa capacidad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2 nuevos son regresión real</w:t>
            </w:r>
          </w:p>
        </w:tc>
        <w:tc>
          <w:tcPr>
            <w:tcW w:type="dxa" w:w="4320"/>
          </w:tcPr>
          <w:p>
            <w:r/>
            <w:r>
              <w:t xml:space="preserve">el RAG se lleva preguntas que </w:t>
            </w:r>
            <w:r>
              <w:rPr>
                <w:b/>
              </w:rPr>
              <w:t>sí</w:t>
            </w:r>
            <w:r>
              <w:t xml:space="preserve"> tenían herramienta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1 se arregló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r>
        <w:t xml:space="preserve">La </w:t>
      </w:r>
      <w:r>
        <w:rPr>
          <w:b/>
        </w:rPr>
        <w:t>regresión real son 2 preguntas</w:t>
      </w:r>
      <w:r>
        <w:t xml:space="preserve">, no las siete que aparentaba el número: «¿Dónde no confío en lo que dijo la IA?» y «¿Qué tengo que confirmar a mano?» esperaban </w:t>
      </w:r>
      <w:r>
        <w:rPr>
          <w:rFonts w:ascii="Consolas" w:hAnsi="Consolas"/>
          <w:sz w:val="19"/>
        </w:rPr>
        <w:t>CROMOSOMAS_PARA_REVISION</w:t>
      </w:r>
      <w:r>
        <w:t xml:space="preserve"> y acabaron en documentación. El RAG compite con las herramientas por preguntas de estado formuladas en tono vago.</w:t>
      </w:r>
    </w:p>
    <w:p>
      <w:r>
        <w:t xml:space="preserve">Leído con el banco corregido para la capacidad nueva —las 3 preguntas documentales pasan a esperar </w:t>
      </w:r>
      <w:r>
        <w:rPr>
          <w:rFonts w:ascii="Consolas" w:hAnsi="Consolas"/>
          <w:sz w:val="19"/>
        </w:rPr>
        <w:t>CORPUS_DOCUMENTAL</w:t>
      </w:r>
      <w:r>
        <w:t xml:space="preserve">— el resultado es </w:t>
      </w:r>
      <w:r>
        <w:rPr>
          <w:b/>
        </w:rPr>
        <w:t>47/56 (84%)</w:t>
      </w:r>
      <w:r>
        <w:t xml:space="preserve">. Se reportan </w:t>
      </w:r>
      <w:r>
        <w:rPr>
          <w:b/>
        </w:rPr>
        <w:t>los dos números</w:t>
      </w:r>
      <w:r>
        <w:t>: el crudo contra el banco intacto, y el corregido explicando por qué cambió la expectativa.</w:t>
      </w:r>
    </w:p>
    <w:p>
      <w:r>
        <w:rPr>
          <w:b/>
        </w:rPr>
        <w:t>Hallazgo que el A/B destapó y que la métrica escondía:</w:t>
      </w:r>
      <w:r>
        <w:t xml:space="preserve"> las 4 preguntas adversarias que reciben una herramienta equivocada —«¿qué significa que un cromosoma esté naranja?», «¿por qué el sistema los marca?», «¿cuánto tarda en procesar una muestra?», «¿qué porcentaje sale alterado?»— </w:t>
      </w:r>
      <w:r>
        <w:rPr>
          <w:b/>
        </w:rPr>
        <w:t>ya fallaban antes del RAG, con exactamente la misma herramienta equivocada</w:t>
      </w:r>
      <w:r>
        <w:t xml:space="preserve">. No las rompió el RAG. Y dos de ellas son preguntas que el RAG responde bien: el arreglo no es tocar el RAG, es que el enrutador las mande a </w:t>
      </w:r>
      <w:r>
        <w:rPr>
          <w:rFonts w:ascii="Consolas" w:hAnsi="Consolas"/>
          <w:sz w:val="19"/>
        </w:rPr>
        <w:t>DOCUMENTACION</w:t>
      </w:r>
      <w:r>
        <w:t>. Objetivo medible y acotado.</w:t>
      </w:r>
    </w:p>
    <w:p/>
    <w:p>
      <w:pPr>
        <w:pStyle w:val="Heading2"/>
      </w:pPr>
      <w:r>
        <w:t>7. El paso 6: comparar similitudes y sugerir</w:t>
      </w:r>
    </w:p>
    <w:p>
      <w:r>
        <w:t>El pipeline se cierra con lo que la consigna llama «comparar porcentajes de similitud para ofrecer la respuesta más óptima y sugerencias apropiadas».</w:t>
      </w:r>
    </w:p>
    <w:p>
      <w:r>
        <w:rPr>
          <w:b/>
        </w:rPr>
        <w:t>Antes de construirlo se midió si el puntaje puede sostener esa promesa</w:t>
      </w:r>
      <w:r>
        <w:t>, con el banco de 18 preguntas y el índice de 1.144 fragmentos: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señal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cubiertas por corpus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fuera del corpus</w:t>
            </w:r>
          </w:p>
        </w:tc>
      </w:tr>
      <w:tr>
        <w:tc>
          <w:tcPr>
            <w:tcW w:type="dxa" w:w="2880"/>
          </w:tcPr>
          <w:p>
            <w:r/>
            <w:r>
              <w:t>similitud top-1</w:t>
            </w:r>
          </w:p>
        </w:tc>
        <w:tc>
          <w:tcPr>
            <w:tcW w:type="dxa" w:w="2880"/>
          </w:tcPr>
          <w:p>
            <w:r/>
            <w:r>
              <w:t>0.601 – 0.695</w:t>
            </w:r>
          </w:p>
        </w:tc>
        <w:tc>
          <w:tcPr>
            <w:tcW w:type="dxa" w:w="2880"/>
          </w:tcPr>
          <w:p>
            <w:r/>
            <w:r>
              <w:t>0.608 – 0.662</w:t>
            </w:r>
          </w:p>
        </w:tc>
      </w:tr>
      <w:tr>
        <w:tc>
          <w:tcPr>
            <w:tcW w:type="dxa" w:w="2880"/>
          </w:tcPr>
          <w:p>
            <w:r/>
            <w:r>
              <w:t>margen top1−top2</w:t>
            </w:r>
          </w:p>
        </w:tc>
        <w:tc>
          <w:tcPr>
            <w:tcW w:type="dxa" w:w="2880"/>
          </w:tcPr>
          <w:p>
            <w:r/>
            <w:r>
              <w:t>0.000 – 0.033</w:t>
            </w:r>
          </w:p>
        </w:tc>
        <w:tc>
          <w:tcPr>
            <w:tcW w:type="dxa" w:w="2880"/>
          </w:tcPr>
          <w:p>
            <w:r/>
            <w:r>
              <w:t>0.006 – 0.024</w:t>
            </w:r>
          </w:p>
        </w:tc>
      </w:tr>
      <w:tr>
        <w:tc>
          <w:tcPr>
            <w:tcW w:type="dxa" w:w="2880"/>
          </w:tcPr>
          <w:p>
            <w:r/>
            <w:r>
              <w:t>dispersión del top-5</w:t>
            </w:r>
          </w:p>
        </w:tc>
        <w:tc>
          <w:tcPr>
            <w:tcW w:type="dxa" w:w="2880"/>
          </w:tcPr>
          <w:p>
            <w:r/>
            <w:r>
              <w:t>0.002 – 0.019</w:t>
            </w:r>
          </w:p>
        </w:tc>
        <w:tc>
          <w:tcPr>
            <w:tcW w:type="dxa" w:w="2880"/>
          </w:tcPr>
          <w:p>
            <w:r/>
            <w:r>
              <w:t>0.004 – 0.018</w:t>
            </w:r>
          </w:p>
        </w:tc>
      </w:tr>
    </w:tbl>
    <w:p/>
    <w:p>
      <w:r>
        <w:t>Las tres se solapan; en margen y dispersión el rango de las preguntas a rechazar queda *dentro* del de las buenas. El mejor umbral concebible sobre cualquiera de ellas acierta 67-72%, por debajo del 89% que ya da el juez.</w:t>
      </w:r>
    </w:p>
    <w:p>
      <w:r>
        <w:t xml:space="preserve">De ahí salen las dos reglas del diseño: </w:t>
      </w:r>
      <w:r>
        <w:rPr>
          <w:b/>
        </w:rPr>
        <w:t>la respuesta más óptima la elige el juez, no el puntaje</w:t>
      </w:r>
      <w:r>
        <w:t xml:space="preserve">, y </w:t>
      </w:r>
      <w:r>
        <w:rPr>
          <w:b/>
        </w:rPr>
        <w:t>ninguna sugerencia afirma pertinencia</w:t>
      </w:r>
      <w:r>
        <w:t xml:space="preserve"> — solo puede decir «esto es lo más parecido que hay».</w:t>
      </w:r>
    </w:p>
    <w:p>
      <w:r>
        <w:t>Dónde aporta de verdad es en la abstención. Un «no sé» a secas es un callejón sin salida; con el paso 6 el usuario ve qué contiene el corpus cerca de su pregunta y puede reformular: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PREGUNTA: Cual es el telefono del doctor Rojas?</w:t>
        <w:br/>
        <w:t>responde=False   MOTIVO: el corpus no cubre la pregunta</w:t>
        <w:br/>
        <w:br/>
        <w:t>El corpus no cubre esa pregunta. Lo más parecido que contiene es:</w:t>
        <w:br/>
        <w:t xml:space="preserve">  - ADR: 0011-rol-administrador.md — Contexto (62.9%)</w:t>
        <w:br/>
        <w:t xml:space="preserve">  - ADR: 0018-permisos-rol-backend-clinic.md — Positivas (59.0%)</w:t>
        <w:br/>
        <w:t xml:space="preserve">  - BRD: BRD_vFinal.md — 14. Restricciones y supuestos (57.7%)</w:t>
      </w:r>
    </w:p>
    <w:p>
      <w:r>
        <w:t xml:space="preserve">Las sugerencias viajan también en la observación del </w:t>
      </w:r>
      <w:r>
        <w:rPr>
          <w:b/>
        </w:rPr>
        <w:t>agente</w:t>
      </w:r>
      <w:r>
        <w:t>, y también cuando no encuentra: así puede reintentar con una pregunta mejor en vez de rendirse en el primer paso.</w:t>
      </w:r>
    </w:p>
    <w:p>
      <w:r>
        <w:t xml:space="preserve">Ejecutarlo contra el índice real corrigió dos cosas que el diseño en papel no vio: al explorar salían tres secciones del mismo documento (ahora se agrupa por documento), y las secciones venían como migas de pan ilegibles del troceador. Reproducible con </w:t>
      </w:r>
      <w:r>
        <w:rPr>
          <w:rFonts w:ascii="Consolas" w:hAnsi="Consolas"/>
          <w:sz w:val="19"/>
        </w:rPr>
        <w:t>python manage.py demo_sugerencias</w:t>
      </w:r>
      <w:r>
        <w:t>, que imprime el código y su salida en la misma pantalla.</w:t>
      </w:r>
    </w:p>
    <w:p/>
    <w:p>
      <w:pPr>
        <w:pStyle w:val="Heading2"/>
      </w:pPr>
      <w:r>
        <w:t>8. Dos desviaciones del laboratorio, justificadas</w:t>
      </w:r>
    </w:p>
    <w:p>
      <w:r>
        <w:rPr>
          <w:b/>
        </w:rPr>
        <w:t>La sesión MCP se mantiene abierta durante todo el bucle.</w:t>
      </w:r>
      <w:r>
        <w:t xml:space="preserve"> El ejemplo abre una por llamada; ahí vale porque su servidor es ligero. El nuestro arranca Django entero, así que abrir y cerrar por acción costaría varios segundos cada vez. Se resolvió con un hilo con su propio bucle de eventos.</w:t>
      </w:r>
    </w:p>
    <w:p>
      <w:r>
        <w:rPr>
          <w:b/>
        </w:rPr>
        <w:t>El SDK cambió de nombres entre versiones.</w:t>
      </w:r>
      <w:r>
        <w:t xml:space="preserve"> </w:t>
      </w:r>
      <w:r>
        <w:rPr>
          <w:rFonts w:ascii="Consolas" w:hAnsi="Consolas"/>
          <w:sz w:val="19"/>
        </w:rPr>
        <w:t>FastMCP</w:t>
      </w:r>
      <w:r>
        <w:t xml:space="preserve"> → </w:t>
      </w:r>
      <w:r>
        <w:rPr>
          <w:rFonts w:ascii="Consolas" w:hAnsi="Consolas"/>
          <w:sz w:val="19"/>
        </w:rPr>
        <w:t>MCPServer</w:t>
      </w:r>
      <w:r>
        <w:t xml:space="preserve">, e </w:t>
      </w:r>
      <w:r>
        <w:rPr>
          <w:rFonts w:ascii="Consolas" w:hAnsi="Consolas"/>
          <w:sz w:val="19"/>
        </w:rPr>
        <w:t>inputSchema</w:t>
      </w:r>
      <w:r>
        <w:t xml:space="preserve"> → </w:t>
      </w:r>
      <w:r>
        <w:rPr>
          <w:rFonts w:ascii="Consolas" w:hAnsi="Consolas"/>
          <w:sz w:val="19"/>
        </w:rPr>
        <w:t>input_schema</w:t>
      </w:r>
      <w:r>
        <w:t>. Se prueban ambas formas en vez de fijar una versión.</w:t>
      </w:r>
    </w:p>
    <w:p/>
    <w:p>
      <w:pPr>
        <w:pStyle w:val="Heading2"/>
      </w:pPr>
      <w:r>
        <w:t>9. Reflexión — qué se corrigió respecto de versiones previas</w:t>
      </w:r>
    </w:p>
    <w:p>
      <w:pPr>
        <w:ind w:left="360"/>
        <w:jc w:val="left"/>
      </w:pPr>
      <w:r>
        <w:rPr>
          <w:i/>
        </w:rPr>
        <w:t>Esta sección recoge lo que cambió **por haberlo medido y haber encontrado que</w:t>
      </w:r>
    </w:p>
    <w:p>
      <w:pPr>
        <w:ind w:left="360"/>
        <w:jc w:val="left"/>
      </w:pPr>
      <w:r>
        <w:rPr>
          <w:i/>
        </w:rPr>
        <w:t>estaba mal**, no lo que se añadió. Cada punto tiene su commit y su número.</w:t>
      </w:r>
    </w:p>
    <w:p>
      <w:pPr>
        <w:pStyle w:val="Heading3"/>
      </w:pPr>
      <w:r>
        <w:t>9.1 Un banco de evaluación fácil daba un 97% falso</w:t>
      </w:r>
    </w:p>
    <w:p>
      <w:r>
        <w:t xml:space="preserve">La primera medición del enrutador, con 30 preguntas, dio </w:t>
      </w:r>
      <w:r>
        <w:rPr>
          <w:b/>
        </w:rPr>
        <w:t>97%</w:t>
      </w:r>
      <w:r>
        <w:t xml:space="preserve">. Al ampliarlo a 56 —añadiendo preguntas fuera de alcance escritas </w:t>
      </w:r>
      <w:r>
        <w:rPr>
          <w:b/>
        </w:rPr>
        <w:t>con el vocabulario del propio dominio</w:t>
      </w:r>
      <w:r>
        <w:t xml:space="preserve">— cayó a </w:t>
      </w:r>
      <w:r>
        <w:rPr>
          <w:b/>
        </w:rPr>
        <w:t>80%</w:t>
      </w:r>
      <w:r>
        <w:t>, y la abstención se desplomó del 100% al 61%.</w:t>
      </w:r>
    </w:p>
    <w:p>
      <w:r>
        <w:t xml:space="preserve">Las 6 preguntas fuera de alcance del banco pequeño (presupuesto, jefe del servicio, precio) no compartían </w:t>
      </w:r>
      <w:r>
        <w:rPr>
          <w:b/>
        </w:rPr>
        <w:t>ni una palabra</w:t>
      </w:r>
      <w:r>
        <w:t xml:space="preserve"> con el catálogo: abstenerse ante ellas es trivial. Las que de verdad miden son las que suenan a dominio pero piden otra cosa: «¿quién tiene permiso para firmar?», «¿qué umbral deberíamos usar?».</w:t>
      </w:r>
    </w:p>
    <w:p>
      <w:r>
        <w:rPr>
          <w:b/>
        </w:rPr>
        <w:t>Lo que enseñó:</w:t>
      </w:r>
      <w:r>
        <w:t xml:space="preserve"> un número alto sobre un banco fácil es peor que no medir, porque da confianza injustificada y esconde justo el fallo que importa. En aquella versión, uno de los escenarios de la consigna *pasaba por suerte*.</w:t>
      </w:r>
    </w:p>
    <w:p>
      <w:pPr>
        <w:pStyle w:val="Heading3"/>
      </w:pPr>
      <w:r>
        <w:t>9.2 El prompt del juez del RAG era peor que no tener juez</w:t>
      </w:r>
    </w:p>
    <w:p>
      <w:r>
        <w:t xml:space="preserve">La v1 decía «ante la duda, responde=false». El modelo tomó la duda por norma y se abstuvo en </w:t>
      </w:r>
      <w:r>
        <w:rPr>
          <w:b/>
        </w:rPr>
        <w:t>11 de 12</w:t>
      </w:r>
      <w:r>
        <w:t xml:space="preserve"> preguntas que sí estaban cubiertas: acierto global </w:t>
      </w:r>
      <w:r>
        <w:rPr>
          <w:b/>
        </w:rPr>
        <w:t>39%</w:t>
      </w:r>
      <w:r>
        <w:t xml:space="preserve">, contra el </w:t>
      </w:r>
      <w:r>
        <w:rPr>
          <w:b/>
        </w:rPr>
        <w:t>56%</w:t>
      </w:r>
      <w:r>
        <w:t xml:space="preserve"> de no tener juez en absoluto.</w:t>
      </w:r>
    </w:p>
    <w:p>
      <w:r>
        <w:t xml:space="preserve">La v2 invierte el defecto —responder es lo normal, abstenerse la excepción acotada a categorías concretas— y recorta el contexto de 5 fragmentos × 2.000 caracteres a 3 × 900. Resultado: </w:t>
      </w:r>
      <w:r>
        <w:rPr>
          <w:b/>
        </w:rPr>
        <w:t>89%</w:t>
      </w:r>
      <w:r>
        <w:t>, y la latencia cayó de 420-671 s a 27-200 s.</w:t>
      </w:r>
    </w:p>
    <w:p>
      <w:r>
        <w:rPr>
          <w:b/>
        </w:rPr>
        <w:t>Lo que enseñó:</w:t>
      </w:r>
      <w:r>
        <w:t xml:space="preserve"> un prompt es código y hay que medirlo dos veces. La intuición «sé conservador» produjo el peor sistema posible.</w:t>
      </w:r>
    </w:p>
    <w:p>
      <w:pPr>
        <w:pStyle w:val="Heading3"/>
      </w:pPr>
      <w:r>
        <w:t>9.3 Los guardrails no tenían un solo test</w:t>
      </w:r>
    </w:p>
    <w:p>
      <w:r>
        <w:t xml:space="preserve">Los tres «no negociables» —freno, cinturón y caja negra— estaban implementados y documentados, pero </w:t>
      </w:r>
      <w:r>
        <w:rPr>
          <w:b/>
        </w:rPr>
        <w:t>sin pruebas</w:t>
      </w:r>
      <w:r>
        <w:t>. El informe afirmaba que este sistema es más estricto que el laboratorio en la confirmación de escritura y, si alguien abría los tests a comprobarlo, no había nada.</w:t>
      </w:r>
    </w:p>
    <w:p>
      <w:r>
        <w:t xml:space="preserve">Corregido: </w:t>
      </w:r>
      <w:r>
        <w:rPr>
          <w:rFonts w:ascii="Consolas" w:hAnsi="Consolas"/>
          <w:sz w:val="19"/>
        </w:rPr>
        <w:t>agente.py</w:t>
      </w:r>
      <w:r>
        <w:t xml:space="preserve"> pasó del 39% al 93% de cobertura y </w:t>
      </w:r>
      <w:r>
        <w:rPr>
          <w:rFonts w:ascii="Consolas" w:hAnsi="Consolas"/>
          <w:sz w:val="19"/>
        </w:rPr>
        <w:t>agente_escritura.py</w:t>
      </w:r>
      <w:r>
        <w:t xml:space="preserve"> al 100%. La prueba que más importa es que </w:t>
      </w:r>
      <w:r>
        <w:rPr>
          <w:b/>
        </w:rPr>
        <w:t>el estado del caso no cambia ni con `confirmado=true`</w:t>
      </w:r>
      <w:r>
        <w:t xml:space="preserve"> — que la política no sea solo un mensaje. El puente MCP pasó del 0% al 84%.</w:t>
      </w:r>
    </w:p>
    <w:p>
      <w:r>
        <w:rPr>
          <w:b/>
        </w:rPr>
        <w:t>Lo que enseñó:</w:t>
      </w:r>
      <w:r>
        <w:t xml:space="preserve"> un guardrail sin test es una intención. Si alguien invierte una condición mañana, el sistema seguiría *pareciendo* seguro.</w:t>
      </w:r>
    </w:p>
    <w:p>
      <w:pPr>
        <w:pStyle w:val="Heading3"/>
      </w:pPr>
      <w:r>
        <w:t>9.4 Cinco veces el instrumento falló antes que el sistema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Instrumento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Qué estaba mal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Efecto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eval_rag</w:t>
            </w:r>
          </w:p>
        </w:tc>
        <w:tc>
          <w:tcPr>
            <w:tcW w:type="dxa" w:w="2880"/>
          </w:tcPr>
          <w:p>
            <w:r/>
            <w:r>
              <w:t>el prompt del juez (§9.2)</w:t>
            </w:r>
          </w:p>
        </w:tc>
        <w:tc>
          <w:tcPr>
            <w:tcW w:type="dxa" w:w="2880"/>
          </w:tcPr>
          <w:p>
            <w:r/>
            <w:r>
              <w:t>39%, peor que sin juez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eval_correccion</w:t>
            </w:r>
          </w:p>
        </w:tc>
        <w:tc>
          <w:tcPr>
            <w:tcW w:type="dxa" w:w="2880"/>
          </w:tcPr>
          <w:p>
            <w:r/>
            <w:r>
              <w:t>solo el 43% del ground truth tenía totales plausibles</w:t>
            </w:r>
          </w:p>
        </w:tc>
        <w:tc>
          <w:tcPr>
            <w:tcW w:type="dxa" w:w="2880"/>
          </w:tcPr>
          <w:p>
            <w:r/>
            <w:r>
              <w:t>cobraba como error de la IA el ruido de la etiqueta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eval_memoria</w:t>
            </w:r>
          </w:p>
        </w:tc>
        <w:tc>
          <w:tcPr>
            <w:tcW w:type="dxa" w:w="2880"/>
          </w:tcPr>
          <w:p>
            <w:r/>
            <w:r>
              <w:t xml:space="preserve">un timeout hacía </w:t>
            </w:r>
            <w:r>
              <w:rPr>
                <w:rFonts w:ascii="Consolas" w:hAnsi="Consolas"/>
                <w:sz w:val="19"/>
              </w:rPr>
              <w:t>return</w:t>
            </w:r>
            <w:r>
              <w:t xml:space="preserve"> y borraba la corrida</w:t>
            </w:r>
          </w:p>
        </w:tc>
        <w:tc>
          <w:tcPr>
            <w:tcW w:type="dxa" w:w="2880"/>
          </w:tcPr>
          <w:p>
            <w:r/>
            <w:r>
              <w:t>se perdían los pares ya medidos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eval_memoria</w:t>
            </w:r>
          </w:p>
        </w:tc>
        <w:tc>
          <w:tcPr>
            <w:tcW w:type="dxa" w:w="2880"/>
          </w:tcPr>
          <w:p>
            <w:r/>
            <w:r>
              <w:t>testigos de un solo dígito («0», «1», «08»)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1/4 vs 3/4, inflado por los dos lados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eval_memoria</w:t>
            </w:r>
          </w:p>
        </w:tc>
        <w:tc>
          <w:tcPr>
            <w:tcW w:type="dxa" w:w="2880"/>
          </w:tcPr>
          <w:p>
            <w:r/>
            <w:r>
              <w:t>el modelo volcaba la observación cruda como respuesta</w:t>
            </w:r>
          </w:p>
        </w:tc>
        <w:tc>
          <w:tcPr>
            <w:tcW w:type="dxa" w:w="2880"/>
          </w:tcPr>
          <w:p>
            <w:r/>
            <w:r>
              <w:t>contenía el código CHN → pasaba por acierto</w:t>
            </w:r>
          </w:p>
        </w:tc>
      </w:tr>
    </w:tbl>
    <w:p/>
    <w:p>
      <w:r>
        <w:t xml:space="preserve">De ahí salieron tres reglas que ahora aplican a cualquier medición del proyecto: un testigo tiene que ser </w:t>
      </w:r>
      <w:r>
        <w:rPr>
          <w:b/>
        </w:rPr>
        <w:t>específico</w:t>
      </w:r>
      <w:r>
        <w:t xml:space="preserve"> (formato o longitud mínima, no dígitos sueltos); un fallo de infraestructura </w:t>
      </w:r>
      <w:r>
        <w:rPr>
          <w:b/>
        </w:rPr>
        <w:t>anota y continúa</w:t>
      </w:r>
      <w:r>
        <w:t xml:space="preserve">, nunca aborta; y hay que declarar qué casos del banco son </w:t>
      </w:r>
      <w:r>
        <w:rPr>
          <w:b/>
        </w:rPr>
        <w:t>débiles por diseño</w:t>
      </w:r>
      <w:r>
        <w:t xml:space="preserve"> y leer el resultado desglosado, no por el total.</w:t>
      </w:r>
    </w:p>
    <w:p>
      <w:r>
        <w:rPr>
          <w:b/>
        </w:rPr>
        <w:t>Lo que enseñó:</w:t>
      </w:r>
      <w:r>
        <w:t xml:space="preserve"> el número es lo último en lo que hay que creer. Antes de interpretarlo, mirar caso por caso si los aciertos son aciertos.</w:t>
      </w:r>
    </w:p>
    <w:p>
      <w:pPr>
        <w:pStyle w:val="Heading3"/>
      </w:pPr>
      <w:r>
        <w:t>9.5 Un A/B desmintió un análisis hecho a ojo</w:t>
      </w:r>
    </w:p>
    <w:p>
      <w:r>
        <w:t xml:space="preserve">Al integrar el RAG el enrutador bajó de 48/56 a 44/56. El análisis por inspección concluyó que había </w:t>
      </w:r>
      <w:r>
        <w:rPr>
          <w:b/>
        </w:rPr>
        <w:t>cuatro regresiones graves</w:t>
      </w:r>
      <w:r>
        <w:t xml:space="preserve">. Se reprodujo el estado anterior en un worktree de git sobre el commit previo, con el mismo banco y el mismo modelo: </w:t>
      </w:r>
      <w:r>
        <w:rPr>
          <w:b/>
        </w:rPr>
        <w:t>48/56 exacto</w:t>
      </w:r>
      <w:r>
        <w:t>.</w:t>
      </w:r>
    </w:p>
    <w:p>
      <w:r>
        <w:t xml:space="preserve">Comparando fallo a fallo, aquella conclusión era </w:t>
      </w:r>
      <w:r>
        <w:rPr>
          <w:b/>
        </w:rPr>
        <w:t>falsa</w:t>
      </w:r>
      <w:r>
        <w:t xml:space="preserve">: esas cuatro preguntas ya fallaban antes, con la misma herramienta equivocada. Tres de las cuatro pérdidas son </w:t>
      </w:r>
      <w:r>
        <w:rPr>
          <w:b/>
        </w:rPr>
        <w:t>etiqueta desactualizada</w:t>
      </w:r>
      <w:r>
        <w:t xml:space="preserve"> —el banco es anterior a que existiera el camino RAG— y </w:t>
      </w:r>
      <w:r>
        <w:rPr>
          <w:b/>
        </w:rPr>
        <w:t>la regresión real son dos preguntas</w:t>
      </w:r>
      <w:r>
        <w:t>.</w:t>
      </w:r>
    </w:p>
    <w:p>
      <w:r>
        <w:rPr>
          <w:b/>
        </w:rPr>
        <w:t>Lo que enseñó:</w:t>
      </w:r>
      <w:r>
        <w:t xml:space="preserve"> si se puede correr el A/B, no razonar sobre el diff. Y se reportan </w:t>
      </w:r>
      <w:r>
        <w:rPr>
          <w:b/>
        </w:rPr>
        <w:t>dos números</w:t>
      </w:r>
      <w:r>
        <w:t xml:space="preserve"> —44/56 con el banco intacto, 47/56 con el banco al día— en vez de tocar el banco para que suba.</w:t>
      </w:r>
    </w:p>
    <w:p>
      <w:pPr>
        <w:pStyle w:val="Heading3"/>
      </w:pPr>
      <w:r>
        <w:t>9.6 Medir la precisión no decía si el producto sirve</w:t>
      </w:r>
    </w:p>
    <w:p>
      <w:r>
        <w:rPr>
          <w:rFonts w:ascii="Consolas" w:hAnsi="Consolas"/>
          <w:sz w:val="19"/>
        </w:rPr>
        <w:t>macro-F1 0.6958</w:t>
      </w:r>
      <w:r>
        <w:t xml:space="preserve"> no responde a la pregunta del laboratorio. La que importa es </w:t>
      </w:r>
      <w:r>
        <w:rPr>
          <w:b/>
        </w:rPr>
        <w:t>cuántas acciones necesita el analista</w:t>
      </w:r>
      <w:r>
        <w:t xml:space="preserve"> para llevar la propuesta de la IA a un cariotipo correcto. Medido contra el cariograma del experto: </w:t>
      </w:r>
      <w:r>
        <w:rPr>
          <w:b/>
        </w:rPr>
        <w:t>mediana de 64 acciones, frente a 46 de hacerlo a mano. En 20 de 20 casos la IA cuesta más.</w:t>
      </w:r>
    </w:p>
    <w:p>
      <w:r>
        <w:t xml:space="preserve">Y corrigió un diagnóstico que se daba por cerrado: se asumía que el cuello de botella era la segmentación, pero </w:t>
      </w:r>
      <w:r>
        <w:rPr>
          <w:b/>
        </w:rPr>
        <w:t>la estructura son 4 de 64 acciones (6%)</w:t>
      </w:r>
      <w:r>
        <w:t>; el grueso está en resolver naranjas (34).</w:t>
      </w:r>
    </w:p>
    <w:p>
      <w:r>
        <w:rPr>
          <w:b/>
        </w:rPr>
        <w:t>Lo que enseñó:</w:t>
      </w:r>
      <w:r>
        <w:t xml:space="preserve"> la métrica de laboratorio y la métrica de producto no son la misma, y solo la segunda dice si esto sirve para alguien.</w:t>
      </w:r>
    </w:p>
    <w:p/>
    <w:p>
      <w:pPr>
        <w:pStyle w:val="Heading2"/>
      </w:pPr>
      <w:r>
        <w:t>10. Qué falta</w:t>
      </w:r>
    </w:p>
    <w:p>
      <w:pPr>
        <w:pStyle w:val="ListNumber"/>
      </w:pPr>
      <w:r>
        <w:rPr>
          <w:b/>
        </w:rPr>
        <w:t>Volver a medir el RAG con consultas generadas por el agente</w:t>
      </w:r>
      <w:r>
        <w:t xml:space="preserve"> (§5.2). Es el</w:t>
      </w:r>
    </w:p>
    <w:p>
      <w:r>
        <w:t xml:space="preserve">   hueco metodológico más importante.</w:t>
      </w:r>
    </w:p>
    <w:p>
      <w:pPr>
        <w:pStyle w:val="ListNumber"/>
      </w:pPr>
      <w:r>
        <w:rPr>
          <w:b/>
        </w:rPr>
        <w:t>Volver a medir el enrutador</w:t>
      </w:r>
      <w:r>
        <w:t>: las 6 preguntas de documentación del banco</w:t>
      </w:r>
    </w:p>
    <w:p>
      <w:r>
        <w:t xml:space="preserve">   de 56 que antes caían en «no sé» deberían resolverse ahora. El «antes» ya    está medido (48/56).</w:t>
      </w:r>
    </w:p>
    <w:p>
      <w:pPr>
        <w:pStyle w:val="ListNumber"/>
      </w:pPr>
      <w:r>
        <w:t>Aplicar el patrón a los otros módulos troncales.</w:t>
      </w:r>
    </w:p>
    <w:p/>
    <w:p>
      <w:pPr>
        <w:pStyle w:val="Heading2"/>
      </w:pPr>
      <w:r>
        <w:t>11. Cómo reproducirlo</w:t>
      </w:r>
    </w:p>
    <w:p>
      <w:pPr>
        <w:spacing w:after="200"/>
        <w:ind w:left="280"/>
      </w:pPr>
      <w:r>
        <w:rPr>
          <w:rFonts w:ascii="Consolas" w:hAnsi="Consolas"/>
          <w:color w:val="1F2A37"/>
          <w:sz w:val="17"/>
        </w:rPr>
        <w:t>cd backend-clinic</w:t>
        <w:br/>
        <w:br/>
        <w:t>python cliente_mcp.py                    # descubre las 6 por protocolo</w:t>
        <w:br/>
        <w:t>python cliente_mcp.py casos_reportados   # las llama sin importar Django</w:t>
        <w:br/>
        <w:br/>
        <w:t>python manage.py demo_agente             # 3 casos con la traza a la vista</w:t>
        <w:br/>
        <w:t>python manage.py demo_agente --mcp       # el MISMO bucle con tools descubiertas</w:t>
        <w:br/>
        <w:br/>
        <w:t># el endpoint</w:t>
        <w:br/>
        <w:t>POST /api/clinic/agente/  {"pregunta": "...", "mcp": false}</w:t>
      </w:r>
    </w:p>
    <w:p>
      <w:r>
        <w:rPr>
          <w:b/>
        </w:rPr>
        <w:t>44 tests verdes.</w:t>
      </w:r>
      <w:r>
        <w:t xml:space="preserve"> Requiere Ollama corriendo con </w:t>
      </w:r>
      <w:r>
        <w:rPr>
          <w:rFonts w:ascii="Consolas" w:hAnsi="Consolas"/>
          <w:sz w:val="19"/>
        </w:rPr>
        <w:t>llama3.2:3b</w:t>
      </w:r>
      <w:r>
        <w:t xml:space="preserve"> y </w:t>
      </w:r>
      <w:r>
        <w:rPr>
          <w:rFonts w:ascii="Consolas" w:hAnsi="Consolas"/>
          <w:sz w:val="19"/>
        </w:rPr>
        <w:t>nomic-embed-text</w:t>
      </w:r>
      <w:r>
        <w:t>; el índice del RAG ya está versionado en el repositorio.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