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Tool calling — resumen de una página</w:t>
      </w:r>
    </w:p>
    <w:p>
      <w:r>
        <w:rPr>
          <w:b/>
        </w:rPr>
        <w:t>BIOMED UMSS · Plataforma de Cariotipado Inteligente</w:t>
      </w:r>
      <w:r>
        <w:t xml:space="preserve"> — Ing. Guillermo Mamani Chambi (individual)</w:t>
      </w:r>
    </w:p>
    <w:p>
      <w:r>
        <w:t xml:space="preserve">Repositorio: </w:t>
      </w:r>
      <w:r>
        <w:rPr>
          <w:rFonts w:ascii="Consolas" w:hAnsi="Consolas"/>
          <w:sz w:val="19"/>
        </w:rPr>
        <w:t>https://github.com/guillemc92/karyoumss</w:t>
      </w:r>
      <w:r>
        <w:t xml:space="preserve"> · Rama: </w:t>
      </w:r>
      <w:r>
        <w:rPr>
          <w:b/>
        </w:rPr>
        <w:t>`feature/clinic-django-stack`</w:t>
      </w:r>
    </w:p>
    <w:p/>
    <w:p>
      <w:pPr>
        <w:pStyle w:val="Heading2"/>
      </w:pPr>
      <w:r>
        <w:t>Herramientas publicadas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Herramienta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Responde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Fuente (tabla)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CROMOSOMAS_PARA_REVISION</w:t>
            </w:r>
          </w:p>
        </w:tc>
        <w:tc>
          <w:tcPr>
            <w:tcW w:type="dxa" w:w="2880"/>
          </w:tcPr>
          <w:p>
            <w:r/>
            <w:r>
              <w:t>Cromosomas naranjas: confianza &lt; 85% sin resolver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clinic_chromosomes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CASOS_PENDIENTES_FIRMA</w:t>
            </w:r>
          </w:p>
        </w:tc>
        <w:tc>
          <w:tcPr>
            <w:tcW w:type="dxa" w:w="2880"/>
          </w:tcPr>
          <w:p>
            <w:r/>
            <w:r>
              <w:t>Casos validados esperando la firma del Supervisor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CASOS_REPORTADOS</w:t>
            </w:r>
          </w:p>
        </w:tc>
        <w:tc>
          <w:tcPr>
            <w:tcW w:type="dxa" w:w="2880"/>
          </w:tcPr>
          <w:p>
            <w:r/>
            <w:r>
              <w:t>Casos cerrados con nomenclatura ISCN emitida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CASOS_EN_PROCESO</w:t>
            </w:r>
          </w:p>
        </w:tc>
        <w:tc>
          <w:tcPr>
            <w:tcW w:type="dxa" w:w="2880"/>
          </w:tcPr>
          <w:p>
            <w:r/>
            <w:r>
              <w:t>Muestras que el pipeline de IA todavía procesa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</w:tbl>
    <w:p/>
    <w:p>
      <w:r>
        <w:t xml:space="preserve">Cada respuesta declara en pantalla </w:t>
      </w:r>
      <w:r>
        <w:rPr>
          <w:rFonts w:ascii="Consolas" w:hAnsi="Consolas"/>
          <w:sz w:val="19"/>
        </w:rPr>
        <w:t>camino</w:t>
      </w:r>
      <w:r>
        <w:t xml:space="preserve">, </w:t>
      </w:r>
      <w:r>
        <w:rPr>
          <w:rFonts w:ascii="Consolas" w:hAnsi="Consolas"/>
          <w:sz w:val="19"/>
        </w:rPr>
        <w:t>tool</w:t>
      </w:r>
      <w:r>
        <w:t xml:space="preserve"> y </w:t>
      </w:r>
      <w:r>
        <w:rPr>
          <w:rFonts w:ascii="Consolas" w:hAnsi="Consolas"/>
          <w:sz w:val="19"/>
        </w:rPr>
        <w:t>source</w:t>
      </w:r>
      <w:r>
        <w:t>. Sin procedencia, un</w:t>
      </w:r>
    </w:p>
    <w:p>
      <w:r>
        <w:t>usuario no puede distinguir un dato consultado de uno inventado.</w:t>
      </w:r>
    </w:p>
    <w:p>
      <w:pPr>
        <w:pStyle w:val="Heading2"/>
      </w:pPr>
      <w:r>
        <w:t>Modelo y versión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Modelo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`llama3.2:3b`</w:t>
            </w:r>
            <w:r>
              <w:t xml:space="preserve"> — versión fija en el </w:t>
            </w:r>
            <w:r>
              <w:rPr>
                <w:rFonts w:ascii="Consolas" w:hAnsi="Consolas"/>
                <w:sz w:val="19"/>
              </w:rPr>
              <w:t>.env</w:t>
            </w:r>
            <w:r>
              <w:t xml:space="preserve">, </w:t>
            </w:r>
            <w:r>
              <w:rPr>
                <w:b/>
              </w:rPr>
              <w:t>nunca `latest`</w:t>
            </w:r>
          </w:p>
        </w:tc>
      </w:tr>
      <w:tr>
        <w:tc>
          <w:tcPr>
            <w:tcW w:type="dxa" w:w="4320"/>
          </w:tcPr>
          <w:p>
            <w:r/>
            <w:r>
              <w:t>Proveedor</w:t>
            </w:r>
          </w:p>
        </w:tc>
        <w:tc>
          <w:tcPr>
            <w:tcW w:type="dxa" w:w="4320"/>
          </w:tcPr>
          <w:p>
            <w:r/>
            <w:r>
              <w:t xml:space="preserve">Ollama local, </w:t>
            </w:r>
            <w:r>
              <w:rPr>
                <w:rFonts w:ascii="Consolas" w:hAnsi="Consolas"/>
                <w:sz w:val="19"/>
              </w:rPr>
              <w:t>http://localhost:11434/v1</w:t>
            </w:r>
            <w:r>
              <w:t xml:space="preserve"> (SDK de OpenAI)</w:t>
            </w:r>
          </w:p>
        </w:tc>
      </w:tr>
      <w:tr>
        <w:tc>
          <w:tcPr>
            <w:tcW w:type="dxa" w:w="4320"/>
          </w:tcPr>
          <w:p>
            <w:r/>
            <w:r>
              <w:t>Parámetros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temperature=0.0</w:t>
            </w:r>
            <w:r>
              <w:t xml:space="preserve"> (enrutar es determinista), </w:t>
            </w:r>
            <w:r>
              <w:rPr>
                <w:rFonts w:ascii="Consolas" w:hAnsi="Consolas"/>
                <w:sz w:val="19"/>
              </w:rPr>
              <w:t>max_tokens=200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response_format</w:t>
            </w:r>
            <w:r>
              <w:t xml:space="preserve"> con enum de nombres válidos</w:t>
            </w:r>
          </w:p>
        </w:tc>
      </w:tr>
      <w:tr>
        <w:tc>
          <w:tcPr>
            <w:tcW w:type="dxa" w:w="4320"/>
          </w:tcPr>
          <w:p>
            <w:r/>
            <w:r>
              <w:t>Interruptor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CLINIC_LLM_ENABLED</w:t>
            </w:r>
            <w:r>
              <w:t xml:space="preserve"> en </w:t>
            </w:r>
            <w:r>
              <w:rPr>
                <w:rFonts w:ascii="Consolas" w:hAnsi="Consolas"/>
                <w:sz w:val="19"/>
              </w:rPr>
              <w:t>backend-clinic/.env</w:t>
            </w:r>
          </w:p>
        </w:tc>
      </w:tr>
    </w:tbl>
    <w:p/>
    <w:p>
      <w:r>
        <w:t xml:space="preserve">La versión se fija porque </w:t>
      </w:r>
      <w:r>
        <w:rPr>
          <w:rFonts w:ascii="Consolas" w:hAnsi="Consolas"/>
          <w:sz w:val="19"/>
        </w:rPr>
        <w:t>latest</w:t>
      </w:r>
      <w:r>
        <w:t xml:space="preserve"> cambia el modelo bajo los pies: el enrutamiento</w:t>
      </w:r>
    </w:p>
    <w:p>
      <w:r>
        <w:t>dejaría de ser reproducible y los cuatro escenarios no serían verificables dos veces.</w:t>
      </w:r>
    </w:p>
    <w:p>
      <w:pPr>
        <w:pStyle w:val="Heading2"/>
      </w:pPr>
      <w:r>
        <w:t>Qué no funcionó</w:t>
      </w:r>
    </w:p>
    <w:p>
      <w:r>
        <w:rPr>
          <w:b/>
        </w:rPr>
        <w:t>El modelo elegía una herramienta en 4 de cada 6 preguntas fuera de alcance.</w:t>
      </w:r>
    </w:p>
    <w:p>
      <w:r>
        <w:t>Es el fallo más grave que apareció, y los cuatro escenarios no lo detectaban: la</w:t>
      </w:r>
    </w:p>
    <w:p>
      <w:r>
        <w:t>pregunta del escenario 3 resultó ser una de las dos que sí acertaba. Se encontró</w:t>
      </w:r>
    </w:p>
    <w:p>
      <w:r>
        <w:t>midiendo con un banco de 30 preguntas etiquetadas (</w:t>
      </w:r>
      <w:r>
        <w:rPr>
          <w:rFonts w:ascii="Consolas" w:hAnsi="Consolas"/>
          <w:sz w:val="19"/>
        </w:rPr>
        <w:t>manage.py eval_enrutado</w:t>
      </w:r>
      <w:r>
        <w:t>),</w:t>
      </w:r>
    </w:p>
    <w:p>
      <w:r>
        <w:t>no ejecutando la demo.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Antes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Después</w:t>
            </w:r>
          </w:p>
        </w:tc>
      </w:tr>
      <w:tr>
        <w:tc>
          <w:tcPr>
            <w:tcW w:type="dxa" w:w="2880"/>
          </w:tcPr>
          <w:p>
            <w:r/>
            <w:r>
              <w:t>Fuera de alcance</w:t>
            </w:r>
          </w:p>
        </w:tc>
        <w:tc>
          <w:tcPr>
            <w:tcW w:type="dxa" w:w="2880"/>
          </w:tcPr>
          <w:p>
            <w:r/>
            <w:r>
              <w:t xml:space="preserve">2/6 — </w:t>
            </w:r>
            <w:r>
              <w:rPr>
                <w:b/>
              </w:rPr>
              <w:t>33%</w:t>
            </w:r>
          </w:p>
        </w:tc>
        <w:tc>
          <w:tcPr>
            <w:tcW w:type="dxa" w:w="2880"/>
          </w:tcPr>
          <w:p>
            <w:r/>
            <w:r>
              <w:t xml:space="preserve">6/6 — </w:t>
            </w:r>
            <w:r>
              <w:rPr>
                <w:b/>
              </w:rPr>
              <w:t>100%</w:t>
            </w:r>
          </w:p>
        </w:tc>
      </w:tr>
      <w:tr>
        <w:tc>
          <w:tcPr>
            <w:tcW w:type="dxa" w:w="2880"/>
          </w:tcPr>
          <w:p>
            <w:r/>
            <w:r>
              <w:t>Dentro de alcance</w:t>
            </w:r>
          </w:p>
        </w:tc>
        <w:tc>
          <w:tcPr>
            <w:tcW w:type="dxa" w:w="2880"/>
          </w:tcPr>
          <w:p>
            <w:r/>
            <w:r>
              <w:t>22/24 — 92%</w:t>
            </w:r>
          </w:p>
        </w:tc>
        <w:tc>
          <w:tcPr>
            <w:tcW w:type="dxa" w:w="2880"/>
          </w:tcPr>
          <w:p>
            <w:r/>
            <w:r>
              <w:t>21/24 — 88%</w:t>
            </w:r>
          </w:p>
        </w:tc>
      </w:tr>
      <w:tr>
        <w:tc>
          <w:tcPr>
            <w:tcW w:type="dxa" w:w="2880"/>
          </w:tcPr>
          <w:p>
            <w:r/>
            <w:r>
              <w:t>Global</w:t>
            </w:r>
          </w:p>
        </w:tc>
        <w:tc>
          <w:tcPr>
            <w:tcW w:type="dxa" w:w="2880"/>
          </w:tcPr>
          <w:p>
            <w:r/>
            <w:r>
              <w:t>24/30 — 80%</w:t>
            </w:r>
          </w:p>
        </w:tc>
        <w:tc>
          <w:tcPr>
            <w:tcW w:type="dxa" w:w="2880"/>
          </w:tcPr>
          <w:p>
            <w:r/>
            <w:r>
              <w:t xml:space="preserve">27/30 — </w:t>
            </w:r>
            <w:r>
              <w:rPr>
                <w:b/>
              </w:rPr>
              <w:t>90%</w:t>
            </w:r>
          </w:p>
        </w:tc>
      </w:tr>
    </w:tbl>
    <w:p/>
    <w:p>
      <w:r>
        <w:t>La causa: la regla de abstención era una línea suelta, sin ejemplos, y las</w:t>
      </w:r>
    </w:p>
    <w:p>
      <w:r>
        <w:t xml:space="preserve">descripciones solo decían para qué sirve cada herramienta, nunca para qué </w:t>
      </w:r>
      <w:r>
        <w:rPr>
          <w:b/>
        </w:rPr>
        <w:t>no</w:t>
      </w:r>
      <w:r>
        <w:t>.</w:t>
      </w:r>
    </w:p>
    <w:p>
      <w:r>
        <w:t>El modelo enrutaba por parecido temático — «¿quién es el jefe del servicio?» iba</w:t>
      </w:r>
    </w:p>
    <w:p>
      <w:r>
        <w:t xml:space="preserve">a </w:t>
      </w:r>
      <w:r>
        <w:rPr>
          <w:rFonts w:ascii="Consolas" w:hAnsi="Consolas"/>
          <w:sz w:val="19"/>
        </w:rPr>
        <w:t>CASOS_PENDIENTES_FIRMA</w:t>
      </w:r>
      <w:r>
        <w:t>. Se corrigió enumerando lo que ninguna herramienta</w:t>
      </w:r>
    </w:p>
    <w:p>
      <w:r>
        <w:t>cubre e invirtiendo la prioridad: elegir mal es peor que abstenerse. **El peaje</w:t>
      </w:r>
    </w:p>
    <w:p>
      <w:r>
        <w:t>costó una pregunta válida** (92% → 88%): el intercambio compensa porque los dos</w:t>
      </w:r>
    </w:p>
    <w:p>
      <w:r>
        <w:t>errores no cuestan lo mismo, pero es real y no se esconde.</w:t>
      </w:r>
    </w:p>
    <w:p>
      <w:r>
        <w:rPr>
          <w:b/>
        </w:rPr>
        <w:t>La latencia del camino LLM es inaceptable para uso interactivo: ~94 segundos</w:t>
      </w:r>
      <w:r>
        <w:t>,</w:t>
      </w:r>
    </w:p>
    <w:p>
      <w:r>
        <w:t>contra 7–34 ms del camino KEYWORD — tres órdenes de magnitud. Es el costo de un</w:t>
      </w:r>
    </w:p>
    <w:p>
      <w:r>
        <w:t>modelo de 3B en CPU sin GPU. La arquitectura de dos caminos existe justamente por</w:t>
      </w:r>
    </w:p>
    <w:p>
      <w:r>
        <w:t>esto: las preguntas frecuentes se resuelven con vocabulario y el modelo queda como</w:t>
      </w:r>
    </w:p>
    <w:p>
      <w:r>
        <w:t>red de seguridad para las que no.</w:t>
      </w:r>
    </w:p>
    <w:p>
      <w:r>
        <w:rPr>
          <w:b/>
        </w:rPr>
        <w:t>El modelo devuelve nombres que no están en el enum</w:t>
      </w:r>
      <w:r>
        <w:t>, pese a declarar</w:t>
      </w:r>
    </w:p>
    <w:p>
      <w:r>
        <w:rPr>
          <w:rFonts w:ascii="Consolas" w:hAnsi="Consolas"/>
          <w:sz w:val="19"/>
        </w:rPr>
        <w:t>strict: true</w:t>
      </w:r>
      <w:r>
        <w:t xml:space="preserve"> en el esquema. El enrutador verifica el nombre contra el catálogo</w:t>
      </w:r>
    </w:p>
    <w:p>
      <w:r>
        <w:t>antes de ejecutar, en vez de confiar en que el contrato se respetó. Está cubierto</w:t>
      </w:r>
    </w:p>
    <w:p>
      <w:r>
        <w:t>por un test.</w:t>
      </w:r>
    </w:p>
    <w:p>
      <w:r>
        <w:rPr>
          <w:b/>
        </w:rPr>
        <w:t>La degradación es tan limpia que esconde errores de configuración.</w:t>
      </w:r>
      <w:r>
        <w:t xml:space="preserve"> Al correr la</w:t>
      </w:r>
    </w:p>
    <w:p>
      <w:r>
        <w:t xml:space="preserve">demo con un intérprete sin el SDK de </w:t>
      </w:r>
      <w:r>
        <w:rPr>
          <w:rFonts w:ascii="Consolas" w:hAnsi="Consolas"/>
          <w:sz w:val="19"/>
        </w:rPr>
        <w:t>openai</w:t>
      </w:r>
      <w:r>
        <w:t xml:space="preserve"> instalado, el escenario 2 devolvió</w:t>
      </w:r>
    </w:p>
    <w:p>
      <w:r>
        <w:rPr>
          <w:rFonts w:ascii="Consolas" w:hAnsi="Consolas"/>
          <w:sz w:val="19"/>
        </w:rPr>
        <w:t>SIN_MATCH</w:t>
      </w:r>
      <w:r>
        <w:t xml:space="preserve"> con aspecto de comportamiento correcto; el único indicio era una línea</w:t>
      </w:r>
    </w:p>
    <w:p>
      <w:r>
        <w:t>de log. Un fallo de disponibilidad y una pregunta fuera de alcance se ven casi</w:t>
      </w:r>
    </w:p>
    <w:p>
      <w:r>
        <w:t>igual desde la pantalla. Convendría distinguirlos en la respuesta.</w:t>
      </w:r>
    </w:p>
    <w:p>
      <w:r>
        <w:rPr>
          <w:b/>
        </w:rPr>
        <w:t>La consola de Windows (cp1252) rompe con Unicode</w:t>
      </w:r>
      <w:r>
        <w:t xml:space="preserve"> — flechas, comillas angulares,</w:t>
      </w:r>
    </w:p>
    <w:p>
      <w:r>
        <w:t xml:space="preserve">guiones largos. La primera corrida falló con </w:t>
      </w:r>
      <w:r>
        <w:rPr>
          <w:rFonts w:ascii="Consolas" w:hAnsi="Consolas"/>
          <w:sz w:val="19"/>
        </w:rPr>
        <w:t>UnicodeEncodeError</w:t>
      </w:r>
      <w:r>
        <w:t>; se resolvió</w:t>
      </w:r>
    </w:p>
    <w:p>
      <w:r>
        <w:t>usando solo ASCII en la salida del comando.</w:t>
      </w:r>
    </w:p>
    <w:p>
      <w:r>
        <w:rPr>
          <w:b/>
        </w:rPr>
        <w:t>Los cromosomas naranjas del seed original ya estaban resueltos</w:t>
      </w:r>
      <w:r>
        <w:t>, así que la</w:t>
      </w:r>
    </w:p>
    <w:p>
      <w:r>
        <w:t>herramienta principal devolvía cero filas y la demo no probaba nada. Hubo que</w:t>
      </w:r>
    </w:p>
    <w:p>
      <w:r>
        <w:t>sembrar un caso específico (</w:t>
      </w:r>
      <w:r>
        <w:rPr>
          <w:rFonts w:ascii="Consolas" w:hAnsi="Consolas"/>
          <w:sz w:val="19"/>
        </w:rPr>
        <w:t>seed_demo_tools</w:t>
      </w:r>
      <w:r>
        <w:t>).</w:t>
      </w:r>
    </w:p>
    <w:p>
      <w:pPr>
        <w:pStyle w:val="Heading2"/>
      </w:pPr>
      <w:r>
        <w:t>Lo que aporta el modelo, medido</w:t>
      </w:r>
    </w:p>
    <w:p>
      <w:r>
        <w:t xml:space="preserve">Con </w:t>
      </w:r>
      <w:r>
        <w:rPr>
          <w:rFonts w:ascii="Consolas" w:hAnsi="Consolas"/>
          <w:sz w:val="19"/>
        </w:rPr>
        <w:t>CLINIC_LLM_ENABLED=false</w:t>
      </w:r>
      <w:r>
        <w:t>, el escenario 1 responde idéntico (7 ms) y el</w:t>
      </w:r>
    </w:p>
    <w:p>
      <w:r>
        <w:t>escenario 2 —el sinónimo— cae en «no sé». Esa diferencia, y solo esa, es la</w:t>
      </w:r>
    </w:p>
    <w:p>
      <w:r>
        <w:t xml:space="preserve">contribución del modelo: </w:t>
      </w:r>
      <w:r>
        <w:rPr>
          <w:b/>
        </w:rPr>
        <w:t>tolerancia a la paráfrasis, sin tocar los datos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