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la simulación a la implementación — estado del sistema</w:t>
      </w:r>
    </w:p>
    <w:p>
      <w:pPr>
        <w:ind w:left="360"/>
        <w:jc w:val="left"/>
      </w:pPr>
      <w:r>
        <w:rPr>
          <w:b/>
          <w:i/>
        </w:rPr>
        <w:t>BIOMED UMSS · Plataforma de Cariotipado Asistido por IA</w:t>
      </w:r>
    </w:p>
    <w:p>
      <w:pPr>
        <w:ind w:left="360"/>
        <w:jc w:val="left"/>
      </w:pPr>
      <w:r>
        <w:rPr>
          <w:i/>
        </w:rPr>
        <w:t>Informe de estado a 19 de agosto de 2026 · Módulo 6</w:t>
      </w:r>
    </w:p>
    <w:p>
      <w:pPr>
        <w:ind w:left="360"/>
        <w:jc w:val="left"/>
      </w:pPr>
      <w:r>
        <w:rPr>
          <w:i/>
        </w:rPr>
        <w:t>Ing. Guillermo Mamani Chambi</w:t>
      </w:r>
    </w:p>
    <w:p/>
    <w:p>
      <w:pPr>
        <w:pStyle w:val="Heading2"/>
      </w:pPr>
      <w:r>
        <w:t>1. En una página</w:t>
      </w:r>
    </w:p>
    <w:p>
      <w:r>
        <w:t xml:space="preserve">Este módulo empezó con un sistema que </w:t>
      </w:r>
      <w:r>
        <w:rPr>
          <w:b/>
        </w:rPr>
        <w:t>simulaba</w:t>
      </w:r>
      <w:r>
        <w:t xml:space="preserve"> su capa de inteligencia y termina con uno que la </w:t>
      </w:r>
      <w:r>
        <w:rPr>
          <w:b/>
        </w:rPr>
        <w:t>ejecuta</w:t>
      </w:r>
      <w:r>
        <w:t>. El cambio no es de tamaño sino de naturaleza: donde antes había un PNG de 1×1 píxel haciendo de mapa de calor y una clasificación por rango de tamaño, hoy hay un EfficientNet-B3 entrenado con 48.000 recortes del propio laboratorio y un Grad-CAM que lee los gradientes de la última capa convolucional.</w:t>
      </w:r>
    </w:p>
    <w:p>
      <w:r>
        <w:t xml:space="preserve">Pero el resultado más valioso del módulo </w:t>
      </w:r>
      <w:r>
        <w:rPr>
          <w:b/>
        </w:rPr>
        <w:t>no es lo que se construyó, sino lo que se midió</w:t>
      </w:r>
      <w:r>
        <w:t xml:space="preserve">. Cinco instrumentos de evaluación devolvieron números incómodos, y esos números cambiaron decisiones de arquitectura: uno de ellos demostró que el pipeline hoy </w:t>
      </w:r>
      <w:r>
        <w:rPr>
          <w:b/>
        </w:rPr>
        <w:t>cuesta más trabajo del que ahorra</w:t>
      </w:r>
      <w:r>
        <w:t>, y otro desmontó un diagnóstico que el propio equipo daba por cerrado.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Commits del periodo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41</w:t>
            </w:r>
          </w:p>
        </w:tc>
      </w:tr>
      <w:tr>
        <w:tc>
          <w:tcPr>
            <w:tcW w:type="dxa" w:w="4320"/>
          </w:tcPr>
          <w:p>
            <w:r/>
            <w:r>
              <w:t>Código nuevo de la capa IA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2.111 líneas</w:t>
            </w:r>
            <w:r>
              <w:t xml:space="preserve"> (+ 1.474 de pruebas)</w:t>
            </w:r>
          </w:p>
        </w:tc>
      </w:tr>
      <w:tr>
        <w:tc>
          <w:tcPr>
            <w:tcW w:type="dxa" w:w="4320"/>
          </w:tcPr>
          <w:p>
            <w:r/>
            <w:r>
              <w:t>ADRs firmados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6</w:t>
            </w:r>
            <w:r>
              <w:t xml:space="preserve"> (0027 → 0032)</w:t>
            </w:r>
          </w:p>
        </w:tc>
      </w:tr>
      <w:tr>
        <w:tc>
          <w:tcPr>
            <w:tcW w:type="dxa" w:w="4320"/>
          </w:tcPr>
          <w:p>
            <w:r/>
            <w:r>
              <w:t>Suite de pruebas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596 verdes</w:t>
            </w:r>
            <w:r>
              <w:t>, cobertura 84,87%</w:t>
            </w:r>
          </w:p>
        </w:tc>
      </w:tr>
      <w:tr>
        <w:tc>
          <w:tcPr>
            <w:tcW w:type="dxa" w:w="4320"/>
          </w:tcPr>
          <w:p>
            <w:r/>
            <w:r>
              <w:t>Niveles de la escalera implementados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 a 5</w:t>
            </w:r>
          </w:p>
        </w:tc>
      </w:tr>
    </w:tbl>
    <w:p/>
    <w:p/>
    <w:p>
      <w:pPr>
        <w:pStyle w:val="Heading2"/>
      </w:pPr>
      <w:r>
        <w:t>2. Qué era simulación y qué es implementación</w:t>
      </w:r>
    </w:p>
    <w:p>
      <w:r>
        <w:t>La distinción se mantiene explícita en el DTI §9.1, porque presentar como construido algo que no lo está es la forma más rápida de perder credibilidad técnica.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Antes del módulo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Hoy</w:t>
            </w:r>
          </w:p>
        </w:tc>
      </w:tr>
      <w:tr>
        <w:tc>
          <w:tcPr>
            <w:tcW w:type="dxa" w:w="2880"/>
          </w:tcPr>
          <w:p>
            <w:r/>
            <w:r>
              <w:t>Clasificación de cromosomas</w:t>
            </w:r>
          </w:p>
        </w:tc>
        <w:tc>
          <w:tcPr>
            <w:tcW w:type="dxa" w:w="2880"/>
          </w:tcPr>
          <w:p>
            <w:r/>
            <w:r>
              <w:t>Placeholder por rango de tamaño, confianza fija 0.55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EfficientNet-B3 entrenado</w:t>
            </w:r>
            <w:r>
              <w:t>, macro-F1 0.6958</w:t>
            </w:r>
          </w:p>
        </w:tc>
      </w:tr>
      <w:tr>
        <w:tc>
          <w:tcPr>
            <w:tcW w:type="dxa" w:w="2880"/>
          </w:tcPr>
          <w:p>
            <w:r/>
            <w:r>
              <w:t>Explicabilidad (XAI)</w:t>
            </w:r>
          </w:p>
        </w:tc>
        <w:tc>
          <w:tcPr>
            <w:tcW w:type="dxa" w:w="2880"/>
          </w:tcPr>
          <w:p>
            <w:r/>
            <w:r>
              <w:t>PNG de 1×1 píxel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Grad-CAM real</w:t>
            </w:r>
            <w:r>
              <w:t xml:space="preserve"> sobre la última capa convolucional</w:t>
            </w:r>
          </w:p>
        </w:tc>
      </w:tr>
      <w:tr>
        <w:tc>
          <w:tcPr>
            <w:tcW w:type="dxa" w:w="2880"/>
          </w:tcPr>
          <w:p>
            <w:r/>
            <w:r>
              <w:t>Corpus documental</w:t>
            </w:r>
          </w:p>
        </w:tc>
        <w:tc>
          <w:tcPr>
            <w:tcW w:type="dxa" w:w="2880"/>
          </w:tcPr>
          <w:p>
            <w:r/>
            <w:r>
              <w:t>No existía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1.144 fragmentos</w:t>
            </w:r>
            <w:r>
              <w:t xml:space="preserve"> indexados (ISCN 2024, ADRs, FSD, BRD)</w:t>
            </w:r>
          </w:p>
        </w:tc>
      </w:tr>
      <w:tr>
        <w:tc>
          <w:tcPr>
            <w:tcW w:type="dxa" w:w="2880"/>
          </w:tcPr>
          <w:p>
            <w:r/>
            <w:r>
              <w:t>Consultas en lenguaje natural</w:t>
            </w:r>
          </w:p>
        </w:tc>
        <w:tc>
          <w:tcPr>
            <w:tcW w:type="dxa" w:w="2880"/>
          </w:tcPr>
          <w:p>
            <w:r/>
            <w:r>
              <w:t>No existía</w:t>
            </w:r>
          </w:p>
        </w:tc>
        <w:tc>
          <w:tcPr>
            <w:tcW w:type="dxa" w:w="2880"/>
          </w:tcPr>
          <w:p>
            <w:r/>
            <w:r>
              <w:t>Enrutador de 4 caminos + agente ReAct</w:t>
            </w:r>
          </w:p>
        </w:tc>
      </w:tr>
      <w:tr>
        <w:tc>
          <w:tcPr>
            <w:tcW w:type="dxa" w:w="2880"/>
          </w:tcPr>
          <w:p>
            <w:r/>
            <w:r>
              <w:t>Herramientas del agente</w:t>
            </w:r>
          </w:p>
        </w:tc>
        <w:tc>
          <w:tcPr>
            <w:tcW w:type="dxa" w:w="2880"/>
          </w:tcPr>
          <w:p>
            <w:r/>
            <w:r>
              <w:t>No existían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 publicadas por MCP</w:t>
            </w:r>
            <w:r>
              <w:t xml:space="preserve"> (JSON-RPC 2.0)</w:t>
            </w:r>
          </w:p>
        </w:tc>
      </w:tr>
      <w:tr>
        <w:tc>
          <w:tcPr>
            <w:tcW w:type="dxa" w:w="2880"/>
          </w:tcPr>
          <w:p>
            <w:r/>
            <w:r>
              <w:t>Memoria del agente</w:t>
            </w:r>
          </w:p>
        </w:tc>
        <w:tc>
          <w:tcPr>
            <w:tcW w:type="dxa" w:w="2880"/>
          </w:tcPr>
          <w:p>
            <w:r/>
            <w:r>
              <w:t>No existía</w:t>
            </w:r>
          </w:p>
        </w:tc>
        <w:tc>
          <w:tcPr>
            <w:tcW w:type="dxa" w:w="2880"/>
          </w:tcPr>
          <w:p>
            <w:r/>
            <w:r>
              <w:t xml:space="preserve">Checkpoints persistentes por </w:t>
            </w:r>
            <w:r>
              <w:rPr>
                <w:rFonts w:ascii="Consolas" w:hAnsi="Consolas"/>
                <w:sz w:val="19"/>
              </w:rPr>
              <w:t>thread_id</w:t>
            </w:r>
          </w:p>
        </w:tc>
      </w:tr>
      <w:tr>
        <w:tc>
          <w:tcPr>
            <w:tcW w:type="dxa" w:w="2880"/>
          </w:tcPr>
          <w:p>
            <w:r/>
            <w:r>
              <w:t>Segmentación</w:t>
            </w:r>
          </w:p>
        </w:tc>
        <w:tc>
          <w:tcPr>
            <w:tcW w:type="dxa" w:w="2880"/>
          </w:tcPr>
          <w:p>
            <w:r/>
            <w:r>
              <w:t>OpenCV + watershed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OpenCV + watershed</w:t>
            </w:r>
            <w:r>
              <w:t xml:space="preserve"> *(U-Net sigue siendo diseño, no implementación)*</w:t>
            </w:r>
          </w:p>
        </w:tc>
      </w:tr>
    </w:tbl>
    <w:p/>
    <w:p>
      <w:r>
        <w:t xml:space="preserve">La última fila es la que más importa: </w:t>
      </w:r>
      <w:r>
        <w:rPr>
          <w:b/>
        </w:rPr>
        <w:t>sigue sin construirse</w:t>
      </w:r>
      <w:r>
        <w:t>, está declarada como tal, y el §5 de este informe explica por qué eso resultó ser menos determinante de lo que se creía.</w:t>
      </w:r>
    </w:p>
    <w:p>
      <w:pPr>
        <w:pStyle w:val="Heading3"/>
      </w:pPr>
      <w:r>
        <w:t>2.1 La verificación, no la afirmación</w:t>
      </w:r>
    </w:p>
    <w:p>
      <w:r>
        <w:t>El flujo completo se ejecutó con metafases reales del dataset MetaClass el 19 de agosto: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POST /api/clinic/samples/register/   →  31,9 s</w:t>
        <w:br/>
        <w:t>CHN-2026-08-19-2414 · READY · 3 imágenes · degraded=false</w:t>
        <w:br/>
        <w:t>modelo: opencv-watershed-v0+efficientnet-b3-metaclass-v3</w:t>
        <w:br/>
        <w:t>47 cromosomas detectados · 42 naranjas · 5 verdes</w:t>
        <w:br/>
        <w:t>confianza media 0,542 — solo 5 superan el umbral de 0,85</w:t>
      </w:r>
    </w:p>
    <w:p>
      <w:r>
        <w:t>No hay mocks en esa ruta. La cadena de versión que emite el servicio declara exactamente qué modelo produjo cada resultado.</w:t>
      </w:r>
    </w:p>
    <w:p/>
    <w:p>
      <w:pPr>
        <w:pStyle w:val="Heading2"/>
      </w:pPr>
      <w:r>
        <w:t>3. Dónde se aplicó lo aprendido en el módulo</w:t>
      </w:r>
    </w:p>
    <w:p>
      <w:r>
        <w:t xml:space="preserve">El módulo enseña una </w:t>
      </w:r>
      <w:r>
        <w:rPr>
          <w:b/>
        </w:rPr>
        <w:t>escalera de integración</w:t>
      </w:r>
      <w:r>
        <w:t xml:space="preserve"> con una regla explícita: *usar el nivel mínimo que resuelva el problema*. Se implementaron los seis niveles, cada uno resolviendo un problema real del laboratorio y no un ejercicio.</w:t>
      </w:r>
    </w:p>
    <w:p>
      <w:pPr>
        <w:pStyle w:val="Heading3"/>
      </w:pPr>
      <w:r>
        <w:t>Nivel 0 — Llamada al SDK</w:t>
      </w:r>
    </w:p>
    <w:p>
      <w:r>
        <w:rPr>
          <w:b/>
        </w:rPr>
        <w:t>Dónde:</w:t>
      </w:r>
      <w:r>
        <w:t xml:space="preserve"> redacción de la narrativa clínica del informe (</w:t>
      </w:r>
      <w:r>
        <w:rPr>
          <w:rFonts w:ascii="Consolas" w:hAnsi="Consolas"/>
          <w:sz w:val="19"/>
        </w:rPr>
        <w:t>llm_client.py</w:t>
      </w:r>
      <w:r>
        <w:t xml:space="preserve">). </w:t>
      </w:r>
      <w:r>
        <w:rPr>
          <w:b/>
        </w:rPr>
        <w:t>Por qué ahí:</w:t>
      </w:r>
      <w:r>
        <w:t xml:space="preserve"> convertir una nomenclatura ISCN en un párrafo legible es generación de texto pura, un solo paso.</w:t>
      </w:r>
    </w:p>
    <w:p>
      <w:pPr>
        <w:ind w:left="360"/>
        <w:jc w:val="left"/>
      </w:pPr>
      <w:r>
        <w:rPr>
          <w:b/>
          <w:i/>
        </w:rPr>
        <w:t>Decisión propia:</w:t>
      </w:r>
      <w:r>
        <w:rPr>
          <w:i/>
        </w:rPr>
        <w:t xml:space="preserve"> el modelo corre en </w:t>
      </w:r>
      <w:r>
        <w:rPr>
          <w:b/>
          <w:i/>
        </w:rPr>
        <w:t>local</w:t>
      </w:r>
      <w:r>
        <w:rPr>
          <w:i/>
        </w:rPr>
        <w:t xml:space="preserve"> con Ollama. El corpus</w:t>
      </w:r>
    </w:p>
    <w:p>
      <w:pPr>
        <w:ind w:left="360"/>
        <w:jc w:val="left"/>
      </w:pPr>
      <w:r>
        <w:rPr>
          <w:i/>
        </w:rPr>
        <w:t>incluye documentación clínica y RN-03 exige cero fuga de datos: no tiene por</w:t>
      </w:r>
    </w:p>
    <w:p>
      <w:pPr>
        <w:ind w:left="360"/>
        <w:jc w:val="left"/>
      </w:pPr>
      <w:r>
        <w:rPr>
          <w:i/>
        </w:rPr>
        <w:t>qué salir de la máquina para convertirse en tokens (ADR-0024).</w:t>
      </w:r>
    </w:p>
    <w:p>
      <w:pPr>
        <w:pStyle w:val="Heading3"/>
      </w:pPr>
      <w:r>
        <w:t>Nivel 1 — Salida estructurada</w:t>
      </w:r>
    </w:p>
    <w:p>
      <w:r>
        <w:rPr>
          <w:b/>
        </w:rPr>
        <w:t>Dónde:</w:t>
      </w:r>
      <w:r>
        <w:t xml:space="preserve"> el esquema Pydantic que valida la respuesta del modelo, con reintento pasándole el error de validación. </w:t>
      </w:r>
      <w:r>
        <w:rPr>
          <w:b/>
        </w:rPr>
        <w:t>Hallazgo:</w:t>
      </w:r>
      <w:r>
        <w:t xml:space="preserve"> en un caso adversario el modelo alucinó tres veces seguidas y el sistema </w:t>
      </w:r>
      <w:r>
        <w:rPr>
          <w:b/>
        </w:rPr>
        <w:t>se bloqueó las tres</w:t>
      </w:r>
      <w:r>
        <w:t>. Es el comportamiento correcto: mejor no responder que responder mal.</w:t>
      </w:r>
    </w:p>
    <w:p>
      <w:pPr>
        <w:pStyle w:val="Heading3"/>
      </w:pPr>
      <w:r>
        <w:t>Nivel 2 — Tool calling</w:t>
      </w:r>
    </w:p>
    <w:p>
      <w:r>
        <w:rPr>
          <w:b/>
        </w:rPr>
        <w:t>Dónde:</w:t>
      </w:r>
      <w:r>
        <w:t xml:space="preserve"> enrutador de consultas (</w:t>
      </w:r>
      <w:r>
        <w:rPr>
          <w:rFonts w:ascii="Consolas" w:hAnsi="Consolas"/>
          <w:sz w:val="19"/>
        </w:rPr>
        <w:t>tool_router.py</w:t>
      </w:r>
      <w:r>
        <w:t>) con cuatro caminos.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KEYWORD    coincide una palabra del catálogo  → se ejecuta SIN modelo</w:t>
        <w:br/>
        <w:t>LLM        no coincide nada                   → el modelo elige la herramienta</w:t>
        <w:br/>
        <w:t>RAG        pregunta de documentación          → va al corpus</w:t>
        <w:br/>
        <w:t>SIN_MATCH  nadie puede responder              → se dice que no se sabe</w:t>
      </w:r>
    </w:p>
    <w:p>
      <w:pPr>
        <w:ind w:left="360"/>
        <w:jc w:val="left"/>
      </w:pPr>
      <w:r>
        <w:rPr>
          <w:b/>
          <w:i/>
        </w:rPr>
        <w:t>Lo que hace este diseño distinto:</w:t>
      </w:r>
      <w:r>
        <w:rPr>
          <w:i/>
        </w:rPr>
        <w:t xml:space="preserve"> el modelo </w:t>
      </w:r>
      <w:r>
        <w:rPr>
          <w:b/>
          <w:i/>
        </w:rPr>
        <w:t>solo elige un nombre</w:t>
      </w:r>
      <w:r>
        <w:rPr>
          <w:i/>
        </w:rPr>
        <w:t>. No</w:t>
      </w:r>
    </w:p>
    <w:p>
      <w:pPr>
        <w:ind w:left="360"/>
        <w:jc w:val="left"/>
      </w:pPr>
      <w:r>
        <w:rPr>
          <w:i/>
        </w:rPr>
        <w:t>redacta la respuesta ni toca los datos — las filas salen de una consulta a la</w:t>
      </w:r>
    </w:p>
    <w:p>
      <w:pPr>
        <w:ind w:left="360"/>
        <w:jc w:val="left"/>
      </w:pPr>
      <w:r>
        <w:rPr>
          <w:i/>
        </w:rPr>
        <w:t>base. La pantalla muestra siempre la herramienta usada y la tabla real de</w:t>
      </w:r>
    </w:p>
    <w:p>
      <w:pPr>
        <w:ind w:left="360"/>
        <w:jc w:val="left"/>
      </w:pPr>
      <w:r>
        <w:rPr>
          <w:i/>
        </w:rPr>
        <w:t>origen, así que un usuario puede distinguir un dato consultado de uno</w:t>
      </w:r>
    </w:p>
    <w:p>
      <w:pPr>
        <w:ind w:left="360"/>
        <w:jc w:val="left"/>
      </w:pPr>
      <w:r>
        <w:rPr>
          <w:i/>
        </w:rPr>
        <w:t>inventado.</w:t>
      </w:r>
    </w:p>
    <w:p>
      <w:r>
        <w:t xml:space="preserve">El camino KEYWORD no es una optimización: es lo que hace que el sistema </w:t>
      </w:r>
      <w:r>
        <w:rPr>
          <w:b/>
        </w:rPr>
        <w:t>siga respondiendo con la IA apagada</w:t>
      </w:r>
      <w:r>
        <w:t xml:space="preserve"> (RN-07).</w:t>
      </w:r>
    </w:p>
    <w:p>
      <w:pPr>
        <w:pStyle w:val="Heading3"/>
      </w:pPr>
      <w:r>
        <w:t>Nivel 3 — RAG</w:t>
      </w:r>
    </w:p>
    <w:p>
      <w:r>
        <w:rPr>
          <w:b/>
        </w:rPr>
        <w:t>Dónde:</w:t>
      </w:r>
      <w:r>
        <w:t xml:space="preserve"> corpus del propio proyecto — el estándar ISCN 2024, los ADRs, el FSD y el BRD.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Fragmentos</w:t>
            </w:r>
          </w:p>
        </w:tc>
      </w:tr>
      <w:tr>
        <w:tc>
          <w:tcPr>
            <w:tcW w:type="dxa" w:w="4320"/>
          </w:tcPr>
          <w:p>
            <w:r/>
            <w:r>
              <w:t>ISCN 2024</w:t>
            </w:r>
          </w:p>
        </w:tc>
        <w:tc>
          <w:tcPr>
            <w:tcW w:type="dxa" w:w="4320"/>
          </w:tcPr>
          <w:p>
            <w:r/>
            <w:r>
              <w:t>711</w:t>
            </w:r>
          </w:p>
        </w:tc>
      </w:tr>
      <w:tr>
        <w:tc>
          <w:tcPr>
            <w:tcW w:type="dxa" w:w="4320"/>
          </w:tcPr>
          <w:p>
            <w:r/>
            <w:r>
              <w:t>ADRs</w:t>
            </w:r>
          </w:p>
        </w:tc>
        <w:tc>
          <w:tcPr>
            <w:tcW w:type="dxa" w:w="4320"/>
          </w:tcPr>
          <w:p>
            <w:r/>
            <w:r>
              <w:t>337</w:t>
            </w:r>
          </w:p>
        </w:tc>
      </w:tr>
      <w:tr>
        <w:tc>
          <w:tcPr>
            <w:tcW w:type="dxa" w:w="4320"/>
          </w:tcPr>
          <w:p>
            <w:r/>
            <w:r>
              <w:t>FSD</w:t>
            </w:r>
          </w:p>
        </w:tc>
        <w:tc>
          <w:tcPr>
            <w:tcW w:type="dxa" w:w="4320"/>
          </w:tcPr>
          <w:p>
            <w:r/>
            <w:r>
              <w:t>37</w:t>
            </w:r>
          </w:p>
        </w:tc>
      </w:tr>
      <w:tr>
        <w:tc>
          <w:tcPr>
            <w:tcW w:type="dxa" w:w="4320"/>
          </w:tcPr>
          <w:p>
            <w:r/>
            <w:r>
              <w:t>BRD</w:t>
            </w:r>
          </w:p>
        </w:tc>
        <w:tc>
          <w:tcPr>
            <w:tcW w:type="dxa" w:w="4320"/>
          </w:tcPr>
          <w:p>
            <w:r/>
            <w:r>
              <w:t>33</w:t>
            </w:r>
          </w:p>
        </w:tc>
      </w:tr>
      <w:tr>
        <w:tc>
          <w:tcPr>
            <w:tcW w:type="dxa" w:w="4320"/>
          </w:tcPr>
          <w:p>
            <w:r/>
            <w:r>
              <w:t>Guía</w:t>
            </w:r>
          </w:p>
        </w:tc>
        <w:tc>
          <w:tcPr>
            <w:tcW w:type="dxa" w:w="4320"/>
          </w:tcPr>
          <w:p>
            <w:r/>
            <w:r>
              <w:t>26</w:t>
            </w:r>
          </w:p>
        </w:tc>
      </w:tr>
    </w:tbl>
    <w:p/>
    <w:p>
      <w:pPr>
        <w:ind w:left="360"/>
        <w:jc w:val="left"/>
      </w:pPr>
      <w:r>
        <w:rPr>
          <w:b/>
          <w:i/>
        </w:rPr>
        <w:t>Desviación deliberada del laboratorio de clase:</w:t>
      </w:r>
      <w:r>
        <w:rPr>
          <w:i/>
        </w:rPr>
        <w:t xml:space="preserve"> se usa NumPy por fuerza</w:t>
      </w:r>
    </w:p>
    <w:p>
      <w:pPr>
        <w:ind w:left="360"/>
        <w:jc w:val="left"/>
      </w:pPr>
      <w:r>
        <w:rPr>
          <w:i/>
        </w:rPr>
        <w:t>bruta en vez de ChromaDB. Son 1.144 fragmentos — un producto matriz-vector de</w:t>
      </w:r>
    </w:p>
    <w:p>
      <w:pPr>
        <w:ind w:left="360"/>
        <w:jc w:val="left"/>
      </w:pPr>
      <w:r>
        <w:rPr>
          <w:i/>
        </w:rPr>
        <w:t>1.144×768 que NumPy resuelve en microsegundos. Chroma añadiría una base</w:t>
      </w:r>
    </w:p>
    <w:p>
      <w:pPr>
        <w:ind w:left="360"/>
        <w:jc w:val="left"/>
      </w:pPr>
      <w:r>
        <w:rPr>
          <w:i/>
        </w:rPr>
        <w:t>binaria que no se versiona bien en git. Es la regla del nivel mínimo aplicada</w:t>
      </w:r>
    </w:p>
    <w:p>
      <w:pPr>
        <w:ind w:left="360"/>
        <w:jc w:val="left"/>
      </w:pPr>
      <w:r>
        <w:rPr>
          <w:i/>
        </w:rPr>
        <w:t>a la infraestructura (ADR-0029 D3).</w:t>
      </w:r>
    </w:p>
    <w:p>
      <w:pPr>
        <w:pStyle w:val="Heading3"/>
      </w:pPr>
      <w:r>
        <w:t>Nivel 4 — Agente + MCP</w:t>
      </w:r>
    </w:p>
    <w:p>
      <w:r>
        <w:rPr>
          <w:b/>
        </w:rPr>
        <w:t>Dónde:</w:t>
      </w:r>
      <w:r>
        <w:t xml:space="preserve"> bucle ReAct (</w:t>
      </w:r>
      <w:r>
        <w:rPr>
          <w:rFonts w:ascii="Consolas" w:hAnsi="Consolas"/>
          <w:sz w:val="19"/>
        </w:rPr>
        <w:t>agente.py</w:t>
      </w:r>
      <w:r>
        <w:t>) con seis herramientas publicadas en un servidor MCP propio sobre JSON-RPC 2.0 por stdio.</w:t>
      </w:r>
    </w:p>
    <w:p>
      <w:r>
        <w:t>Los tres guardrails del módulo, y cómo se aplican aquí: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Guardrail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Freno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MAX_PASOS = 6</w:t>
            </w:r>
          </w:p>
        </w:tc>
        <w:tc>
          <w:tcPr>
            <w:tcW w:type="dxa" w:w="4320"/>
          </w:tcPr>
          <w:p>
            <w:r/>
            <w:r>
              <w:t>Un bucle sin tope es una fuga de dinero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Cinturón</w:t>
            </w:r>
            <w:r>
              <w:t xml:space="preserve"> — confirmación de escritura</w:t>
            </w:r>
          </w:p>
        </w:tc>
        <w:tc>
          <w:tcPr>
            <w:tcW w:type="dxa" w:w="4320"/>
          </w:tcPr>
          <w:p>
            <w:r/>
            <w:r>
              <w:t>*Más estricto que el laboratorio* (ver abajo)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Caja negra</w:t>
            </w:r>
            <w:r>
              <w:t xml:space="preserve"> — traza</w:t>
            </w:r>
          </w:p>
        </w:tc>
        <w:tc>
          <w:tcPr>
            <w:tcW w:type="dxa" w:w="4320"/>
          </w:tcPr>
          <w:p>
            <w:r/>
            <w:r>
              <w:t>Acción, observación y tokens de cada paso</w:t>
            </w:r>
          </w:p>
        </w:tc>
      </w:tr>
    </w:tbl>
    <w:p/>
    <w:p>
      <w:pPr>
        <w:ind w:left="360"/>
        <w:jc w:val="left"/>
      </w:pPr>
      <w:r>
        <w:rPr>
          <w:b/>
          <w:i/>
        </w:rPr>
        <w:t>La desviación más importante del módulo.</w:t>
      </w:r>
      <w:r>
        <w:rPr>
          <w:i/>
        </w:rPr>
        <w:t xml:space="preserve"> En el laboratorio de clase,</w:t>
      </w:r>
    </w:p>
    <w:p>
      <w:pPr>
        <w:ind w:left="360"/>
        <w:jc w:val="left"/>
      </w:pPr>
      <w:r>
        <w:rPr>
          <w:rFonts w:ascii="Consolas" w:hAnsi="Consolas"/>
          <w:i/>
          <w:sz w:val="19"/>
        </w:rPr>
        <w:t>cancelar_pedido</w:t>
      </w:r>
      <w:r>
        <w:rPr>
          <w:i/>
        </w:rPr>
        <w:t xml:space="preserve"> </w:t>
      </w:r>
      <w:r>
        <w:rPr>
          <w:b/>
          <w:i/>
        </w:rPr>
        <w:t>sí ejecuta</w:t>
      </w:r>
      <w:r>
        <w:rPr>
          <w:i/>
        </w:rPr>
        <w:t xml:space="preserve"> con </w:t>
      </w:r>
      <w:r>
        <w:rPr>
          <w:rFonts w:ascii="Consolas" w:hAnsi="Consolas"/>
          <w:i/>
          <w:sz w:val="19"/>
        </w:rPr>
        <w:t>confirmado=true</w:t>
      </w:r>
      <w:r>
        <w:rPr>
          <w:i/>
        </w:rPr>
        <w:t>. Aquí</w:t>
      </w:r>
    </w:p>
    <w:p>
      <w:pPr>
        <w:ind w:left="360"/>
        <w:jc w:val="left"/>
      </w:pPr>
      <w:r>
        <w:rPr>
          <w:rFonts w:ascii="Consolas" w:hAnsi="Consolas"/>
          <w:i/>
          <w:sz w:val="19"/>
        </w:rPr>
        <w:t>preparar_validacion_de_caso</w:t>
      </w:r>
      <w:r>
        <w:rPr>
          <w:i/>
        </w:rPr>
        <w:t xml:space="preserve"> </w:t>
      </w:r>
      <w:r>
        <w:rPr>
          <w:b/>
          <w:i/>
        </w:rPr>
        <w:t>nunca ejecuta</w:t>
      </w:r>
      <w:r>
        <w:rPr>
          <w:i/>
        </w:rPr>
        <w:t>, ni confirmado.</w:t>
      </w:r>
    </w:p>
    <w:p>
      <w:r>
        <w:t>&gt;</w:t>
      </w:r>
    </w:p>
    <w:p>
      <w:pPr>
        <w:ind w:left="360"/>
        <w:jc w:val="left"/>
      </w:pPr>
      <w:r>
        <w:rPr>
          <w:i/>
        </w:rPr>
        <w:t>La diferencia no es de implementación sino de dominio: cancelar una compra es</w:t>
      </w:r>
    </w:p>
    <w:p>
      <w:pPr>
        <w:ind w:left="360"/>
        <w:jc w:val="left"/>
      </w:pPr>
      <w:r>
        <w:rPr>
          <w:i/>
        </w:rPr>
        <w:t>reversible y lo autoriza su dueño; validar un cariotipo es un acto clínico que</w:t>
      </w:r>
    </w:p>
    <w:p>
      <w:pPr>
        <w:ind w:left="360"/>
        <w:jc w:val="left"/>
      </w:pPr>
      <w:r>
        <w:rPr>
          <w:i/>
        </w:rPr>
        <w:t>firma un profesional con su identidad. RN-01 exige validación manual del</w:t>
      </w:r>
    </w:p>
    <w:p>
      <w:pPr>
        <w:ind w:left="360"/>
        <w:jc w:val="left"/>
      </w:pPr>
      <w:r>
        <w:rPr>
          <w:i/>
        </w:rPr>
        <w:t>analista y firma del supervisor con MFA, y RN-06 exige que no sean la misma</w:t>
      </w:r>
    </w:p>
    <w:p>
      <w:pPr>
        <w:ind w:left="360"/>
        <w:jc w:val="left"/>
      </w:pPr>
      <w:r>
        <w:rPr>
          <w:i/>
        </w:rPr>
        <w:t>persona. Un proceso automático no es un analista identificado ni puede aportar</w:t>
      </w:r>
    </w:p>
    <w:p>
      <w:pPr>
        <w:ind w:left="360"/>
        <w:jc w:val="left"/>
      </w:pPr>
      <w:r>
        <w:rPr>
          <w:i/>
        </w:rPr>
        <w:t>un segundo factor.</w:t>
      </w:r>
    </w:p>
    <w:p>
      <w:r>
        <w:t>&gt;</w:t>
      </w:r>
    </w:p>
    <w:p>
      <w:pPr>
        <w:ind w:left="360"/>
        <w:jc w:val="left"/>
      </w:pPr>
      <w:r>
        <w:rPr>
          <w:i/>
        </w:rPr>
        <w:t xml:space="preserve">El guardrail vive </w:t>
      </w:r>
      <w:r>
        <w:rPr>
          <w:b/>
          <w:i/>
        </w:rPr>
        <w:t>dentro de la herramienta</w:t>
      </w:r>
      <w:r>
        <w:rPr>
          <w:i/>
        </w:rPr>
        <w:t>, no en el bucle: así viaja con</w:t>
      </w:r>
    </w:p>
    <w:p>
      <w:pPr>
        <w:ind w:left="360"/>
        <w:jc w:val="left"/>
      </w:pPr>
      <w:r>
        <w:rPr>
          <w:i/>
        </w:rPr>
        <w:t>ella por MCP a cualquier cliente que la descubra.</w:t>
      </w:r>
    </w:p>
    <w:p>
      <w:pPr>
        <w:pStyle w:val="Heading3"/>
      </w:pPr>
      <w:r>
        <w:t>Nivel 5 — LangGraph</w:t>
      </w:r>
    </w:p>
    <w:p>
      <w:r>
        <w:rPr>
          <w:b/>
        </w:rPr>
        <w:t>Dónde:</w:t>
      </w:r>
      <w:r>
        <w:t xml:space="preserve"> memoria conversacional del agente (</w:t>
      </w:r>
      <w:r>
        <w:rPr>
          <w:rFonts w:ascii="Consolas" w:hAnsi="Consolas"/>
          <w:sz w:val="19"/>
        </w:rPr>
        <w:t>agente_grafo.py</w:t>
      </w:r>
      <w:r>
        <w:t xml:space="preserve">), con checkpoints persistentes por </w:t>
      </w:r>
      <w:r>
        <w:rPr>
          <w:rFonts w:ascii="Consolas" w:hAnsi="Consolas"/>
          <w:sz w:val="19"/>
        </w:rPr>
        <w:t>thread_id</w:t>
      </w:r>
      <w:r>
        <w:t>.</w:t>
      </w:r>
    </w:p>
    <w:p>
      <w:r>
        <w:rPr>
          <w:b/>
        </w:rPr>
        <w:t>Alcance acotado a propósito</w:t>
      </w:r>
      <w:r>
        <w:t xml:space="preserve">, y esta es la decisión de arquitectura más delicada del módulo: el </w:t>
      </w:r>
      <w:r>
        <w:rPr>
          <w:b/>
        </w:rPr>
        <w:t>estado clínico no vive en los checkpoints</w:t>
      </w:r>
      <w:r>
        <w:t xml:space="preserve">. Un caso avanza </w:t>
      </w:r>
      <w:r>
        <w:rPr>
          <w:rFonts w:ascii="Consolas" w:hAnsi="Consolas"/>
          <w:sz w:val="19"/>
        </w:rPr>
        <w:t>READY → ANALYST_VALIDATED → SIGNED → REPORTED</w:t>
      </w:r>
      <w:r>
        <w:t xml:space="preserve"> en PostgreSQL con un audit trail encadenado por SHA-256 que sostiene la firma electrónica.</w:t>
      </w:r>
    </w:p>
    <w:p>
      <w:pPr>
        <w:ind w:left="360"/>
        <w:jc w:val="left"/>
      </w:pPr>
      <w:r>
        <w:rPr>
          <w:i/>
        </w:rPr>
        <w:t>Duplicar esa máquina de estados en un checkpointer crearía **una segunda</w:t>
      </w:r>
    </w:p>
    <w:p>
      <w:pPr>
        <w:ind w:left="360"/>
        <w:jc w:val="left"/>
      </w:pPr>
      <w:r>
        <w:rPr>
          <w:i/>
        </w:rPr>
        <w:t>fuente de verdad para un proceso auditado**: cuando un inspector pregunte en</w:t>
      </w:r>
    </w:p>
    <w:p>
      <w:pPr>
        <w:ind w:left="360"/>
        <w:jc w:val="left"/>
      </w:pPr>
      <w:r>
        <w:rPr>
          <w:i/>
        </w:rPr>
        <w:t>qué estado estaba un caso, no puede haber dos respuestas. Es una objeción de</w:t>
      </w:r>
    </w:p>
    <w:p>
      <w:pPr>
        <w:ind w:left="360"/>
        <w:jc w:val="left"/>
      </w:pPr>
      <w:r>
        <w:rPr>
          <w:b/>
          <w:i/>
        </w:rPr>
        <w:t>cumplimiento</w:t>
      </w:r>
      <w:r>
        <w:rPr>
          <w:i/>
        </w:rPr>
        <w:t>, no de complejidad (ADR-0032 D2).</w:t>
      </w:r>
    </w:p>
    <w:p>
      <w:r>
        <w:t xml:space="preserve">Por la misma razón no se usa el </w:t>
      </w:r>
      <w:r>
        <w:rPr>
          <w:rFonts w:ascii="Consolas" w:hAnsi="Consolas"/>
          <w:sz w:val="19"/>
        </w:rPr>
        <w:t>interrupt</w:t>
      </w:r>
      <w:r>
        <w:t xml:space="preserve"> de LangGraph para la aprobación humana, aunque «aprobar desde otra sesión» sea literalmente RN-06: como la herramienta nunca ejecuta, un </w:t>
      </w:r>
      <w:r>
        <w:rPr>
          <w:rFonts w:ascii="Consolas" w:hAnsi="Consolas"/>
          <w:sz w:val="19"/>
        </w:rPr>
        <w:t>interrupt</w:t>
      </w:r>
      <w:r>
        <w:t xml:space="preserve"> sería aprobar algo que de todos modos no escribe.</w:t>
      </w:r>
    </w:p>
    <w:p/>
    <w:p>
      <w:pPr>
        <w:pStyle w:val="Heading2"/>
      </w:pPr>
      <w:r>
        <w:t>4. La regla de la escalera, aplicada en sentido contrario</w:t>
      </w:r>
    </w:p>
    <w:p>
      <w:r>
        <w:t xml:space="preserve">Se propuso durante el módulo una arquitectura de </w:t>
      </w:r>
      <w:r>
        <w:rPr>
          <w:b/>
        </w:rPr>
        <w:t>siete agentes</w:t>
      </w:r>
      <w:r>
        <w:t xml:space="preserve"> —Orquestador, Preprocesador, Detector, Clasificador, Pairing, Validador ISCN y narrativa— y se </w:t>
      </w:r>
      <w:r>
        <w:rPr>
          <w:b/>
        </w:rPr>
        <w:t>rechazó</w:t>
      </w:r>
      <w:r>
        <w:t>, con las razones firmadas en ADR-0031.</w:t>
      </w:r>
    </w:p>
    <w:p>
      <w:r>
        <w:t>Tres hechos la decidieron:</w:t>
      </w:r>
    </w:p>
    <w:p>
      <w:pPr>
        <w:pStyle w:val="ListNumber"/>
      </w:pPr>
      <w:r>
        <w:rPr>
          <w:b/>
        </w:rPr>
        <w:t>El flujo dibujado no tiene decisiones.</w:t>
      </w:r>
      <w:r>
        <w:t xml:space="preserve"> Preprocesar → detectar →</w:t>
      </w:r>
    </w:p>
    <w:p>
      <w:r>
        <w:t xml:space="preserve">   clasificar tiene un orden fijo e inevitable: no se puede clasificar antes de    segmentar. El flujograma era una línea recta con una sola bifurcación, y esa    bifurcación era un </w:t>
      </w:r>
      <w:r>
        <w:rPr>
          <w:rFonts w:ascii="Consolas" w:hAnsi="Consolas"/>
          <w:sz w:val="19"/>
        </w:rPr>
        <w:t>if</w:t>
      </w:r>
      <w:r>
        <w:t xml:space="preserve"> sobre un umbral. Un orquestador que reparte siempre    en el mismo orden es una caja de paso.</w:t>
      </w:r>
    </w:p>
    <w:p>
      <w:pPr>
        <w:pStyle w:val="ListNumber"/>
      </w:pPr>
      <w:r>
        <w:rPr>
          <w:b/>
        </w:rPr>
        <w:t>Seis de las siete cajas no eran agentes.</w:t>
      </w:r>
      <w:r>
        <w:t xml:space="preserve"> La propia propuesta describía el</w:t>
      </w:r>
    </w:p>
    <w:p>
      <w:r>
        <w:t xml:space="preserve">   Validador ISCN como «función determinística», que es exactamente lo contrario    de un agente.</w:t>
      </w:r>
    </w:p>
    <w:p>
      <w:pPr>
        <w:pStyle w:val="ListNumber"/>
      </w:pPr>
      <w:r>
        <w:rPr>
          <w:b/>
        </w:rPr>
        <w:t>Los servicios que el diagrama repartía no existen</w:t>
      </w:r>
      <w:r>
        <w:t xml:space="preserve"> — el DTI se contradecía</w:t>
      </w:r>
    </w:p>
    <w:p>
      <w:r>
        <w:t xml:space="preserve">   con su propia tabla de diseñado-frente-a-construido.</w:t>
      </w:r>
    </w:p>
    <w:p>
      <w:r>
        <w:rPr>
          <w:b/>
        </w:rPr>
        <w:t>La ramificación real del sistema está después del pipeline</w:t>
      </w:r>
      <w:r>
        <w:t>, en la semaforización: los cromosomas naranjas desvían el caso a corrección manual. Ahí es donde el diagrama se bifurca, y es donde está el valor clínico.</w:t>
      </w:r>
    </w:p>
    <w:p>
      <w:r>
        <w:t xml:space="preserve">Aplicar la regla de la escalera significó, en este caso, </w:t>
      </w:r>
      <w:r>
        <w:rPr>
          <w:b/>
        </w:rPr>
        <w:t>bajar un peldaño en lugar de subirlo</w:t>
      </w:r>
      <w:r>
        <w:t>.</w:t>
      </w:r>
    </w:p>
    <w:p/>
    <w:p>
      <w:pPr>
        <w:pStyle w:val="Heading2"/>
      </w:pPr>
      <w:r>
        <w:t>5. Lo que se midió, y lo que las mediciones cambiaron</w:t>
      </w:r>
    </w:p>
    <w:p>
      <w:r>
        <w:t>Cinco instrumentos de evaluación, todos reproducibles con un comando.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Medición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</w:tr>
      <w:tr>
        <w:tc>
          <w:tcPr>
            <w:tcW w:type="dxa" w:w="2880"/>
          </w:tcPr>
          <w:p>
            <w:r/>
            <w:r>
              <w:t>Enrutador (56 preguntas)</w:t>
            </w:r>
          </w:p>
        </w:tc>
        <w:tc>
          <w:tcPr>
            <w:tcW w:type="dxa" w:w="2880"/>
          </w:tcPr>
          <w:p>
            <w:r/>
            <w:r>
              <w:t>44/56 · 79%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eval_enrutado</w:t>
            </w:r>
          </w:p>
        </w:tc>
      </w:tr>
      <w:tr>
        <w:tc>
          <w:tcPr>
            <w:tcW w:type="dxa" w:w="2880"/>
          </w:tcPr>
          <w:p>
            <w:r/>
            <w:r>
              <w:t>RAG con juez (18 preguntas)</w:t>
            </w:r>
          </w:p>
        </w:tc>
        <w:tc>
          <w:tcPr>
            <w:tcW w:type="dxa" w:w="2880"/>
          </w:tcPr>
          <w:p>
            <w:r/>
            <w:r>
              <w:t>16/18 · 89%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eval_rag --con-juez</w:t>
            </w:r>
          </w:p>
        </w:tc>
      </w:tr>
      <w:tr>
        <w:tc>
          <w:tcPr>
            <w:tcW w:type="dxa" w:w="2880"/>
          </w:tcPr>
          <w:p>
            <w:r/>
            <w:r>
              <w:t>Memoria: nivel 4 vs 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0/8 → 4/8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eval_memoria</w:t>
            </w:r>
          </w:p>
        </w:tc>
      </w:tr>
      <w:tr>
        <w:tc>
          <w:tcPr>
            <w:tcW w:type="dxa" w:w="2880"/>
          </w:tcPr>
          <w:p>
            <w:r/>
            <w:r>
              <w:t>Coste de corrección por caso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64 acciones vs 46 a mano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training/eval_correccion.py</w:t>
            </w:r>
          </w:p>
        </w:tc>
      </w:tr>
      <w:tr>
        <w:tc>
          <w:tcPr>
            <w:tcW w:type="dxa" w:w="2880"/>
          </w:tcPr>
          <w:p>
            <w:r/>
            <w:r>
              <w:t>Suite de pruebas</w:t>
            </w:r>
          </w:p>
        </w:tc>
        <w:tc>
          <w:tcPr>
            <w:tcW w:type="dxa" w:w="2880"/>
          </w:tcPr>
          <w:p>
            <w:r/>
            <w:r>
              <w:t>596 verdes · 84,87%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</w:tbl>
    <w:p/>
    <w:p>
      <w:pPr>
        <w:pStyle w:val="Heading3"/>
      </w:pPr>
      <w:r>
        <w:t>5.1 La medición que cambió la hoja de ruta</w:t>
      </w:r>
    </w:p>
    <w:p>
      <w:r>
        <w:rPr>
          <w:rFonts w:ascii="Consolas" w:hAnsi="Consolas"/>
          <w:sz w:val="19"/>
        </w:rPr>
        <w:t>eval_correccion.py</w:t>
      </w:r>
      <w:r>
        <w:t xml:space="preserve"> responde a una pregunta que el </w:t>
      </w:r>
      <w:r>
        <w:rPr>
          <w:rFonts w:ascii="Consolas" w:hAnsi="Consolas"/>
          <w:sz w:val="19"/>
        </w:rPr>
        <w:t>macro-F1</w:t>
      </w:r>
      <w:r>
        <w:t xml:space="preserve"> no contesta: </w:t>
      </w:r>
      <w:r>
        <w:rPr>
          <w:b/>
        </w:rPr>
        <w:t>¿cuántas acciones necesita el analista para llevar la propuesta de la IA a un cariotipo correcto?</w:t>
      </w:r>
      <w:r>
        <w:t xml:space="preserve"> La vara de comparación es ordenar el cariograma a mano: 46 colocaciones.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Acciones por caso   mediana 64 | min 51 | max 87</w:t>
        <w:br/>
        <w:t xml:space="preserve">  estructura   4     separar / unir</w:t>
        <w:br/>
        <w:t xml:space="preserve">  clase       28     reclasificar</w:t>
        <w:br/>
        <w:t xml:space="preserve">  resolución  34     ver XAI + aceptar</w:t>
        <w:br/>
        <w:t>Casos que cuestan MÁS que hacerlo a mano: 20/20 (100%)</w:t>
      </w:r>
    </w:p>
    <w:p>
      <w:r>
        <w:rPr>
          <w:b/>
        </w:rPr>
        <w:t>Hoy el pipeline añade trabajo en vez de ahorrarlo.</w:t>
      </w:r>
      <w:r>
        <w:t xml:space="preserve"> Y corrigió un diagnóstico que se daba por cerrado: se asumía que el cuello de botella era la segmentación, pero </w:t>
      </w:r>
      <w:r>
        <w:rPr>
          <w:b/>
        </w:rPr>
        <w:t>la estructura son 4 de 64 acciones (6%)</w:t>
      </w:r>
      <w:r>
        <w:t>. El grueso está en resolver naranjas — 34 acciones, más de la mitad — y eso nace del umbral 0,85 y de la obligación de consultar XAI antes de aceptar. Con un clasificador perfecto al 0,84 se pagarían igual.</w:t>
      </w:r>
    </w:p>
    <w:p>
      <w:r>
        <w:rPr>
          <w:b/>
        </w:rPr>
        <w:t>Consecuencia de producto:</w:t>
      </w:r>
      <w:r>
        <w:t xml:space="preserve"> una resolución </w:t>
      </w:r>
      <w:r>
        <w:rPr>
          <w:b/>
        </w:rPr>
        <w:t>en bloque</w:t>
      </w:r>
      <w:r>
        <w:t xml:space="preserve"> recortaría del orden de 30 acciones por caso </w:t>
      </w:r>
      <w:r>
        <w:rPr>
          <w:b/>
        </w:rPr>
        <w:t>sin tocar ningún modelo</w:t>
      </w:r>
      <w:r>
        <w:t>. Es más barato que entrenar U-Net y ataca la mitad del coste.</w:t>
      </w:r>
    </w:p>
    <w:p>
      <w:pPr>
        <w:pStyle w:val="Heading3"/>
      </w:pPr>
      <w:r>
        <w:t>5.2 El instrumento falla antes que el sistema</w:t>
      </w:r>
    </w:p>
    <w:p>
      <w:r>
        <w:t xml:space="preserve">El aprendizaje metodológico más transferible del módulo: </w:t>
      </w:r>
      <w:r>
        <w:rPr>
          <w:b/>
        </w:rPr>
        <w:t>cinco veces</w:t>
      </w:r>
      <w:r>
        <w:t xml:space="preserve"> la primera medición fue inválida por un defecto del medidor, no del sistema medido.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Instrumento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estaba mal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eval_rag</w:t>
            </w:r>
          </w:p>
        </w:tc>
        <w:tc>
          <w:tcPr>
            <w:tcW w:type="dxa" w:w="2880"/>
          </w:tcPr>
          <w:p>
            <w:r/>
            <w:r>
              <w:t>el prompt del juez decía «ante la duda, no respondas»</w:t>
            </w:r>
          </w:p>
        </w:tc>
        <w:tc>
          <w:tcPr>
            <w:tcW w:type="dxa" w:w="2880"/>
          </w:tcPr>
          <w:p>
            <w:r/>
            <w:r>
              <w:t xml:space="preserve">39%: </w:t>
            </w:r>
            <w:r>
              <w:rPr>
                <w:b/>
              </w:rPr>
              <w:t>peor que no tener juez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eval_correccion</w:t>
            </w:r>
          </w:p>
        </w:tc>
        <w:tc>
          <w:tcPr>
            <w:tcW w:type="dxa" w:w="2880"/>
          </w:tcPr>
          <w:p>
            <w:r/>
            <w:r>
              <w:t>solo el 43% del ground truth tenía totales plausibles</w:t>
            </w:r>
          </w:p>
        </w:tc>
        <w:tc>
          <w:tcPr>
            <w:tcW w:type="dxa" w:w="2880"/>
          </w:tcPr>
          <w:p>
            <w:r/>
            <w:r>
              <w:t>cobraba como error de la IA el ruido de la etiqueta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 xml:space="preserve">un timeout hacía </w:t>
            </w:r>
            <w:r>
              <w:rPr>
                <w:rFonts w:ascii="Consolas" w:hAnsi="Consolas"/>
                <w:sz w:val="19"/>
              </w:rPr>
              <w:t>return</w:t>
            </w:r>
            <w:r>
              <w:t xml:space="preserve"> y borraba la corrida</w:t>
            </w:r>
          </w:p>
        </w:tc>
        <w:tc>
          <w:tcPr>
            <w:tcW w:type="dxa" w:w="2880"/>
          </w:tcPr>
          <w:p>
            <w:r/>
            <w:r>
              <w:t>se perdían pares buenos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>testigos de un solo dígito («0», «1»)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1/4 vs 3/4 inflado por los dos lados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>el modelo volcaba la observación cruda como respuesta</w:t>
            </w:r>
          </w:p>
        </w:tc>
        <w:tc>
          <w:tcPr>
            <w:tcW w:type="dxa" w:w="2880"/>
          </w:tcPr>
          <w:p>
            <w:r/>
            <w:r>
              <w:t>contenía el código → pasaba por acierto</w:t>
            </w:r>
          </w:p>
        </w:tc>
      </w:tr>
    </w:tbl>
    <w:p/>
    <w:p>
      <w:r>
        <w:t xml:space="preserve">De ahí salieron tres reglas: un testigo tiene que ser </w:t>
      </w:r>
      <w:r>
        <w:rPr>
          <w:b/>
        </w:rPr>
        <w:t>específico</w:t>
      </w:r>
      <w:r>
        <w:t xml:space="preserve">; un fallo de infraestructura </w:t>
      </w:r>
      <w:r>
        <w:rPr>
          <w:b/>
        </w:rPr>
        <w:t>anota y continúa</w:t>
      </w:r>
      <w:r>
        <w:t xml:space="preserve">, nunca aborta; y hay que declarar qué casos del banco son </w:t>
      </w:r>
      <w:r>
        <w:rPr>
          <w:b/>
        </w:rPr>
        <w:t>débiles por diseño</w:t>
      </w:r>
      <w:r>
        <w:t xml:space="preserve"> y leer el resultado desglosado.</w:t>
      </w:r>
    </w:p>
    <w:p>
      <w:pPr>
        <w:pStyle w:val="Heading3"/>
      </w:pPr>
      <w:r>
        <w:t>5.3 Cuando el A/B desmintió el análisis</w:t>
      </w:r>
    </w:p>
    <w:p>
      <w:r>
        <w:t xml:space="preserve">Al integrar el RAG, el enrutador bajó de 48/56 a 44/56. El análisis a ojo concluyó que había cuatro regresiones graves. Se reprodujo el estado anterior en un </w:t>
      </w:r>
      <w:r>
        <w:rPr>
          <w:b/>
        </w:rPr>
        <w:t>worktree de git</w:t>
      </w:r>
      <w:r>
        <w:t xml:space="preserve"> sobre el commit previo, con el mismo banco y el mismo modelo: dio </w:t>
      </w:r>
      <w:r>
        <w:rPr>
          <w:b/>
        </w:rPr>
        <w:t>48/56 exacto</w:t>
      </w:r>
      <w:r>
        <w:t>.</w:t>
      </w:r>
    </w:p>
    <w:p>
      <w:r>
        <w:t xml:space="preserve">Comparando fallo a fallo, la conclusión inicial era </w:t>
      </w:r>
      <w:r>
        <w:rPr>
          <w:b/>
        </w:rPr>
        <w:t>falsa</w:t>
      </w:r>
      <w:r>
        <w:t xml:space="preserve">: aquellas cuatro preguntas ya fallaban antes con la misma herramienta equivocada. De las cuatro pérdidas, </w:t>
      </w:r>
      <w:r>
        <w:rPr>
          <w:b/>
        </w:rPr>
        <w:t>tres son etiqueta desactualizada</w:t>
      </w:r>
      <w:r>
        <w:t xml:space="preserve"> —el banco es anterior a que existiera el camino RAG— y </w:t>
      </w:r>
      <w:r>
        <w:rPr>
          <w:b/>
        </w:rPr>
        <w:t>la regresión real son dos preguntas</w:t>
      </w:r>
      <w:r>
        <w:t>.</w:t>
      </w:r>
    </w:p>
    <w:p>
      <w:pPr>
        <w:ind w:left="360"/>
        <w:jc w:val="left"/>
      </w:pPr>
      <w:r>
        <w:rPr>
          <w:i/>
        </w:rPr>
        <w:t xml:space="preserve">Se reportan </w:t>
      </w:r>
      <w:r>
        <w:rPr>
          <w:b/>
          <w:i/>
        </w:rPr>
        <w:t>dos números</w:t>
      </w:r>
      <w:r>
        <w:rPr>
          <w:i/>
        </w:rPr>
        <w:t>: 44/56 con el banco intacto y 47/56 con el banco</w:t>
      </w:r>
    </w:p>
    <w:p>
      <w:pPr>
        <w:ind w:left="360"/>
        <w:jc w:val="left"/>
      </w:pPr>
      <w:r>
        <w:rPr>
          <w:i/>
        </w:rPr>
        <w:t>al día. No se tocó el banco para que subiera.</w:t>
      </w:r>
    </w:p>
    <w:p/>
    <w:p>
      <w:pPr>
        <w:pStyle w:val="Heading2"/>
      </w:pPr>
      <w:r>
        <w:t>6. Contraste con el estado del arte</w:t>
      </w:r>
    </w:p>
    <w:p>
      <w:r>
        <w:t>Contrastar con un producto comercial maduro no es una cortesía: es la única manera de saber si las decisiones tomadas aquí son razonables o caprichosas.</w:t>
      </w:r>
    </w:p>
    <w:p>
      <w:pPr>
        <w:ind w:left="360"/>
        <w:jc w:val="left"/>
      </w:pPr>
      <w:r>
        <w:rPr>
          <w:b/>
          <w:i/>
        </w:rPr>
        <w:t>Precisión sobre la fuente.</w:t>
      </w:r>
      <w:r>
        <w:rPr>
          <w:i/>
        </w:rPr>
        <w:t xml:space="preserve"> Lo que sigue procede de una captura de</w:t>
      </w:r>
    </w:p>
    <w:p>
      <w:pPr>
        <w:ind w:left="360"/>
        <w:jc w:val="left"/>
      </w:pPr>
      <w:r>
        <w:rPr>
          <w:b/>
          <w:i/>
        </w:rPr>
        <w:t>Ikaros 7 (MetaSystems)</w:t>
      </w:r>
      <w:r>
        <w:rPr>
          <w:i/>
        </w:rPr>
        <w:t>, software comercial de cariotipado asistido. **No</w:t>
      </w:r>
    </w:p>
    <w:p>
      <w:pPr>
        <w:ind w:left="360"/>
        <w:jc w:val="left"/>
      </w:pPr>
      <w:r>
        <w:rPr>
          <w:i/>
        </w:rPr>
        <w:t>es el sistema que usa este laboratorio** — el laboratorio tiene un sistema</w:t>
      </w:r>
    </w:p>
    <w:p>
      <w:pPr>
        <w:ind w:left="360"/>
        <w:jc w:val="left"/>
      </w:pPr>
      <w:r>
        <w:rPr>
          <w:i/>
        </w:rPr>
        <w:t xml:space="preserve">legado propio (base SQL Server </w:t>
      </w:r>
      <w:r>
        <w:rPr>
          <w:rFonts w:ascii="Consolas" w:hAnsi="Consolas"/>
          <w:i/>
          <w:sz w:val="19"/>
        </w:rPr>
        <w:t>SCAMC</w:t>
      </w:r>
      <w:r>
        <w:rPr>
          <w:i/>
        </w:rPr>
        <w:t>, 48 tablas) que este proyecto</w:t>
      </w:r>
    </w:p>
    <w:p>
      <w:pPr>
        <w:ind w:left="360"/>
        <w:jc w:val="left"/>
      </w:pPr>
      <w:r>
        <w:rPr>
          <w:i/>
        </w:rPr>
        <w:t>reemplaza. Ikaros se usa aquí como **referencia externa del estado del</w:t>
      </w:r>
    </w:p>
    <w:p>
      <w:pPr>
        <w:ind w:left="360"/>
        <w:jc w:val="left"/>
      </w:pPr>
      <w:r>
        <w:rPr>
          <w:i/>
        </w:rPr>
        <w:t>arte**, no como el sistema desplazado.</w:t>
      </w:r>
    </w:p>
    <w:p>
      <w:pPr>
        <w:pStyle w:val="Heading3"/>
      </w:pPr>
      <w:r>
        <w:t>6.1 Tres decisiones que el estado del arte confirma</w:t>
      </w:r>
    </w:p>
    <w:p>
      <w:r>
        <w:rPr>
          <w:b/>
        </w:rPr>
        <w:t>Su salida se llama «Proposal», no diagnóstico.</w:t>
      </w:r>
      <w:r>
        <w:t xml:space="preserve"> En pantalla, abajo a la izquierda: </w:t>
      </w:r>
      <w:r>
        <w:rPr>
          <w:rFonts w:ascii="Consolas" w:hAnsi="Consolas"/>
          <w:sz w:val="19"/>
        </w:rPr>
        <w:t>Proposal 47,XXY</w:t>
      </w:r>
      <w:r>
        <w:t xml:space="preserve">. Un producto de referencia presenta el cariotipo como </w:t>
      </w:r>
      <w:r>
        <w:rPr>
          <w:b/>
        </w:rPr>
        <w:t>propuesta</w:t>
      </w:r>
      <w:r>
        <w:t xml:space="preserve"> que el citogenetista acepta o corrige — exactamente el papel que cumple aquí la semaforización. Que la IA proponga y la persona decida no es una limitación de este proyecto: es cómo funciona el estándar del sector.</w:t>
      </w:r>
    </w:p>
    <w:p>
      <w:r>
        <w:rPr>
          <w:b/>
        </w:rPr>
        <w:t>Cuenta células analizadas.</w:t>
      </w:r>
      <w:r>
        <w:t xml:space="preserve"> El panel inferior muestra </w:t>
      </w:r>
      <w:r>
        <w:rPr>
          <w:rFonts w:ascii="Consolas" w:hAnsi="Consolas"/>
          <w:sz w:val="19"/>
        </w:rPr>
        <w:t>Analyzed Cells: 9</w:t>
      </w:r>
      <w:r>
        <w:t xml:space="preserve"> y </w:t>
      </w:r>
      <w:r>
        <w:rPr>
          <w:rFonts w:ascii="Consolas" w:hAnsi="Consolas"/>
          <w:sz w:val="19"/>
        </w:rPr>
        <w:t>Karyogramm Count: 9</w:t>
      </w:r>
      <w:r>
        <w:t xml:space="preserve"> como campos de primer nivel. Es el mismo dato que el informe del laboratorio expresa como </w:t>
      </w:r>
      <w:r>
        <w:rPr>
          <w:rFonts w:ascii="Consolas" w:hAnsi="Consolas"/>
          <w:sz w:val="19"/>
        </w:rPr>
        <w:t>[20]</w:t>
      </w:r>
      <w:r>
        <w:t xml:space="preserve"> y que aquí falta (§7). La necesidad de un caso multi-metafase queda validada por un producto real, no solo por la lectura de un informe.</w:t>
      </w:r>
    </w:p>
    <w:p>
      <w:r>
        <w:rPr>
          <w:b/>
        </w:rPr>
        <w:t>Expone un control manual del umbral de segmentación</w:t>
      </w:r>
      <w:r>
        <w:t xml:space="preserve"> (</w:t>
      </w:r>
      <w:r>
        <w:rPr>
          <w:rFonts w:ascii="Consolas" w:hAnsi="Consolas"/>
          <w:sz w:val="19"/>
        </w:rPr>
        <w:t>Lower Threshold</w:t>
      </w:r>
      <w:r>
        <w:t>). Incluso el software comercial asume que ninguna segmentación automática basta y le entrega la perilla al analista. La sub-segmentación medida en §5.1 no es una carencia exclusiva de este prototipo: es el estado del problema.</w:t>
      </w:r>
    </w:p>
    <w:p>
      <w:pPr>
        <w:pStyle w:val="Heading3"/>
      </w:pPr>
      <w:r>
        <w:t>6.2 Lo que el estado del arte hace y aquí no está</w:t>
      </w:r>
    </w:p>
    <w:p>
      <w:r>
        <w:rPr>
          <w:rFonts w:ascii="Consolas" w:hAnsi="Consolas"/>
          <w:sz w:val="19"/>
        </w:rPr>
        <w:t>Est. Overlaps: 0</w:t>
      </w:r>
      <w:r>
        <w:t xml:space="preserve"> — </w:t>
      </w:r>
      <w:r>
        <w:rPr>
          <w:b/>
        </w:rPr>
        <w:t>mide los solapamientos y los muestra como métrica</w:t>
      </w:r>
      <w:r>
        <w:t>, para que el analista decida si una metafase merece su tiempo *antes* de invertirlo. Es el problema de sub-segmentación convertido en un número accionable.</w:t>
      </w:r>
    </w:p>
    <w:p>
      <w:r>
        <w:t xml:space="preserve">Aquí eso está </w:t>
      </w:r>
      <w:r>
        <w:rPr>
          <w:b/>
        </w:rPr>
        <w:t>decidido y sin construir</w:t>
      </w:r>
      <w:r>
        <w:t xml:space="preserve">: [ADR-0026](adr/0026-estimacion-bandas-solapamientos.md) —«Estimación de conteo de bandas y detección de solapamientos»— está en estado </w:t>
      </w:r>
      <w:r>
        <w:rPr>
          <w:rFonts w:ascii="Consolas" w:hAnsi="Consolas"/>
          <w:sz w:val="19"/>
        </w:rPr>
        <w:t>accepted</w:t>
      </w:r>
      <w:r>
        <w:t xml:space="preserve"> desde el 5 de agosto, </w:t>
      </w:r>
      <w:r>
        <w:rPr>
          <w:b/>
        </w:rPr>
        <w:t>antes</w:t>
      </w:r>
      <w:r>
        <w:t xml:space="preserve"> de ver esa pantalla. La comparación no originó la idea: la valida.</w:t>
      </w:r>
    </w:p>
    <w:p>
      <w:pPr>
        <w:pStyle w:val="Heading3"/>
      </w:pPr>
      <w:r>
        <w:t>6.3 Mapa de operaciones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Operación en Ikaros 7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Equivalente aquí</w:t>
            </w:r>
          </w:p>
        </w:tc>
      </w:tr>
      <w:tr>
        <w:tc>
          <w:tcPr>
            <w:tcW w:type="dxa" w:w="4320"/>
          </w:tcPr>
          <w:p>
            <w:r/>
            <w:r>
              <w:t>Auto Separate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19"/>
              </w:rPr>
              <w:t>SPLIT</w:t>
            </w:r>
          </w:p>
        </w:tc>
      </w:tr>
      <w:tr>
        <w:tc>
          <w:tcPr>
            <w:tcW w:type="dxa" w:w="4320"/>
          </w:tcPr>
          <w:p>
            <w:r/>
            <w:r>
              <w:t>Classify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19"/>
              </w:rPr>
              <w:t>CORRECT_CLASS</w:t>
            </w:r>
          </w:p>
        </w:tc>
      </w:tr>
      <w:tr>
        <w:tc>
          <w:tcPr>
            <w:tcW w:type="dxa" w:w="4320"/>
          </w:tcPr>
          <w:p>
            <w:r/>
            <w:r>
              <w:t>Check Objects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19"/>
              </w:rPr>
              <w:t>XAI_VIEWED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ACCEPT_CHROMOSOME</w:t>
            </w:r>
          </w:p>
        </w:tc>
      </w:tr>
      <w:tr>
        <w:tc>
          <w:tcPr>
            <w:tcW w:type="dxa" w:w="4320"/>
          </w:tcPr>
          <w:p>
            <w:r/>
            <w:r>
              <w:t>Region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19"/>
              </w:rPr>
              <w:t>RECROP</w:t>
            </w:r>
          </w:p>
        </w:tc>
      </w:tr>
      <w:tr>
        <w:tc>
          <w:tcPr>
            <w:tcW w:type="dxa" w:w="4320"/>
          </w:tcPr>
          <w:p>
            <w:r/>
            <w:r>
              <w:t>Count</w:t>
            </w:r>
          </w:p>
        </w:tc>
        <w:tc>
          <w:tcPr>
            <w:tcW w:type="dxa" w:w="4320"/>
          </w:tcPr>
          <w:p>
            <w:r/>
            <w:r>
              <w:t>✅ conteo por clase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Reject Objects</w:t>
            </w:r>
          </w:p>
        </w:tc>
        <w:tc>
          <w:tcPr>
            <w:tcW w:type="dxa" w:w="4320"/>
          </w:tcPr>
          <w:p>
            <w:r/>
            <w:r>
              <w:t>❌ no se puede descartar una detección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Annotate</w:t>
            </w:r>
          </w:p>
        </w:tc>
        <w:tc>
          <w:tcPr>
            <w:tcW w:type="dxa" w:w="4320"/>
          </w:tcPr>
          <w:p>
            <w:r/>
            <w:r>
              <w:t>❌ falta anotar sobre la metafase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Estimate Band Count</w:t>
            </w:r>
          </w:p>
        </w:tc>
        <w:tc>
          <w:tcPr>
            <w:tcW w:type="dxa" w:w="4320"/>
          </w:tcPr>
          <w:p>
            <w:r/>
            <w:r>
              <w:t>❌ ADR-0026, sin construir</w:t>
            </w:r>
          </w:p>
        </w:tc>
      </w:tr>
    </w:tbl>
    <w:p/>
    <w:p>
      <w:r>
        <w:rPr>
          <w:b/>
        </w:rPr>
        <w:t>Cinco de ocho</w:t>
      </w:r>
      <w:r>
        <w:t>, y las tres ausentes están identificadas con su decisión escrita. Ninguna es un descubrimiento tardío.</w:t>
      </w:r>
    </w:p>
    <w:p>
      <w:pPr>
        <w:pStyle w:val="Heading3"/>
      </w:pPr>
      <w:r>
        <w:t>6.4 Lo que este contraste no dice</w:t>
      </w:r>
    </w:p>
    <w:p>
      <w:r>
        <w:t>No dice que este sistema compita con un producto comercial certificado y en uso clínico; esto es un prototipo cuyo coste de corrección se midió y salió desfavorable (§5.1).</w:t>
      </w:r>
    </w:p>
    <w:p>
      <w:r>
        <w:t xml:space="preserve">Y tampoco dice que el laboratorio use ese producto. </w:t>
      </w:r>
      <w:r>
        <w:rPr>
          <w:b/>
        </w:rPr>
        <w:t>Lo que este proyecto reemplaza es un sistema legado propio</w:t>
      </w:r>
      <w:r>
        <w:t>, del que se conserva hasta el esquema de base de datos y del que salieron las 1.113 imágenes usadas para entrenar.</w:t>
      </w:r>
    </w:p>
    <w:p>
      <w:r>
        <w:t xml:space="preserve">Lo que sí dice es que </w:t>
      </w:r>
      <w:r>
        <w:rPr>
          <w:b/>
        </w:rPr>
        <w:t>las decisiones de diseño apuntan en la misma dirección que el producto de referencia</w:t>
      </w:r>
      <w:r>
        <w:t>, y que las diferencias son de madurez, no de criterio.</w:t>
      </w:r>
    </w:p>
    <w:p/>
    <w:p>
      <w:pPr>
        <w:pStyle w:val="Heading2"/>
      </w:pPr>
      <w:r>
        <w:t>7. Lo que falta, sin maquillar</w:t>
      </w:r>
    </w:p>
    <w:p>
      <w:r>
        <w:rPr>
          <w:b/>
        </w:rPr>
        <w:t>El detector.</w:t>
      </w:r>
      <w:r>
        <w:t xml:space="preserve"> La segmentación junta cromosomas que se tocan, y ese recorte malo produce clasificaciones erróneas. La vía de fondo es U-Net; la vía inmediata es RECROP, la herramienta de recorte manual que se construyó este módulo.</w:t>
      </w:r>
    </w:p>
    <w:p>
      <w:r>
        <w:rPr>
          <w:b/>
        </w:rPr>
        <w:t>El caso multi-metafase.</w:t>
      </w:r>
      <w:r>
        <w:t xml:space="preserve"> El laboratorio analiza </w:t>
      </w:r>
      <w:r>
        <w:rPr>
          <w:b/>
        </w:rPr>
        <w:t>20 metafases por caso</w:t>
      </w:r>
      <w:r>
        <w:t xml:space="preserve"> y reporta el consenso — por eso el informe real dice </w:t>
      </w:r>
      <w:r>
        <w:rPr>
          <w:rFonts w:ascii="Consolas" w:hAnsi="Consolas"/>
          <w:sz w:val="19"/>
        </w:rPr>
        <w:t>47,XY,+21[20]</w:t>
      </w:r>
      <w:r>
        <w:t xml:space="preserve">. El sistema guarda N imágenes pero </w:t>
      </w:r>
      <w:r>
        <w:rPr>
          <w:rFonts w:ascii="Consolas" w:hAnsi="Consolas"/>
          <w:sz w:val="19"/>
        </w:rPr>
        <w:t>Karyotype</w:t>
      </w:r>
      <w:r>
        <w:t xml:space="preserve"> es </w:t>
      </w:r>
      <w:r>
        <w:rPr>
          <w:rFonts w:ascii="Consolas" w:hAnsi="Consolas"/>
          <w:sz w:val="19"/>
        </w:rPr>
        <w:t>OneToOne</w:t>
      </w:r>
      <w:r>
        <w:t xml:space="preserve"> con </w:t>
      </w:r>
      <w:r>
        <w:rPr>
          <w:rFonts w:ascii="Consolas" w:hAnsi="Consolas"/>
          <w:sz w:val="19"/>
        </w:rPr>
        <w:t>Sample</w:t>
      </w:r>
      <w:r>
        <w:t xml:space="preserve">: analiza solo la primera y no hay dónde guardar el consenso. </w:t>
      </w:r>
      <w:r>
        <w:rPr>
          <w:b/>
        </w:rPr>
        <w:t>Es lo que separa esto de un informe clínico emitible</w:t>
      </w:r>
      <w:r>
        <w:t>, y es un cambio de modelo, no un parche.</w:t>
      </w:r>
    </w:p>
    <w:p>
      <w:r>
        <w:rPr>
          <w:b/>
        </w:rPr>
        <w:t>El pipeline corre síncrono.</w:t>
      </w:r>
      <w:r>
        <w:t xml:space="preserve"> Celery está declarado en el stack pero no implementado: una metafase pesada bloquea el hilo de la petición (ADR-0031).</w:t>
      </w:r>
    </w:p>
    <w:p>
      <w:r>
        <w:rPr>
          <w:b/>
        </w:rPr>
        <w:t>La memoria del nivel 5 gana 4 de 8.</w:t>
      </w:r>
      <w:r>
        <w:t xml:space="preserve"> El checkpoint persiste siempre; lo que falla es que </w:t>
      </w:r>
      <w:r>
        <w:rPr>
          <w:rFonts w:ascii="Consolas" w:hAnsi="Consolas"/>
          <w:sz w:val="19"/>
        </w:rPr>
        <w:t>llama3.2:3b</w:t>
      </w:r>
      <w:r>
        <w:t xml:space="preserve"> lo aproveche — vuelve a consultar las herramientas en vez de leer el historial. El límite es el modelo, no la arquitectura.</w:t>
      </w:r>
    </w:p>
    <w:p/>
    <w:p>
      <w:pPr>
        <w:pStyle w:val="Heading2"/>
      </w:pPr>
      <w:r>
        <w:t>8. Trazabilidad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ADR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0027</w:t>
            </w:r>
          </w:p>
        </w:tc>
        <w:tc>
          <w:tcPr>
            <w:tcW w:type="dxa" w:w="4320"/>
          </w:tcPr>
          <w:p>
            <w:r/>
            <w:r>
              <w:t>Similitud vectorial para enrutar consultas — medido y acotado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0028</w:t>
            </w:r>
          </w:p>
        </w:tc>
        <w:tc>
          <w:tcPr>
            <w:tcW w:type="dxa" w:w="4320"/>
          </w:tcPr>
          <w:p>
            <w:r/>
            <w:r>
              <w:t>Corpus clínico para fundamentar la narrativa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0029</w:t>
            </w:r>
          </w:p>
        </w:tc>
        <w:tc>
          <w:tcPr>
            <w:tcW w:type="dxa" w:w="4320"/>
          </w:tcPr>
          <w:p>
            <w:r/>
            <w:r>
              <w:t>RAG documental sobre el corpus del proyecto (D1–D7)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0030</w:t>
            </w:r>
          </w:p>
        </w:tc>
        <w:tc>
          <w:tcPr>
            <w:tcW w:type="dxa" w:w="4320"/>
          </w:tcPr>
          <w:p>
            <w:r/>
            <w:r>
              <w:t>Un agente ReAct con guardrails, herramientas por MCP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0031</w:t>
            </w:r>
          </w:p>
        </w:tc>
        <w:tc>
          <w:tcPr>
            <w:tcW w:type="dxa" w:w="4320"/>
          </w:tcPr>
          <w:p>
            <w:r/>
            <w:r>
              <w:t xml:space="preserve">La orquestación es una cola de tareas, </w:t>
            </w:r>
            <w:r>
              <w:rPr>
                <w:b/>
              </w:rPr>
              <w:t>no</w:t>
            </w:r>
            <w:r>
              <w:t xml:space="preserve"> multiagente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0032</w:t>
            </w:r>
          </w:p>
        </w:tc>
        <w:tc>
          <w:tcPr>
            <w:tcW w:type="dxa" w:w="4320"/>
          </w:tcPr>
          <w:p>
            <w:r/>
            <w:r>
              <w:t>Memoria conversacional con LangGraph, sin estado clínico</w:t>
            </w:r>
          </w:p>
        </w:tc>
      </w:tr>
    </w:tbl>
    <w:p/>
    <w:p>
      <w:r>
        <w:t xml:space="preserve">Cada decisión llegó </w:t>
      </w:r>
      <w:r>
        <w:rPr>
          <w:b/>
        </w:rPr>
        <w:t>después</w:t>
      </w:r>
      <w:r>
        <w:t xml:space="preserve"> de una medición, no antes. Es la diferencia entre elegir una tecnología y justificarla.</w:t>
      </w:r>
    </w:p>
    <w:p/>
    <w:p>
      <w:pPr>
        <w:pStyle w:val="Heading2"/>
      </w:pPr>
      <w:r>
        <w:t>9. Cómo reproducir todo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# servicios</w:t>
        <w:br/>
        <w:t>cd backend-ml      &amp;&amp; python -m uvicorn app.main:app --port 8000</w:t>
        <w:br/>
        <w:t>cd backend-admin   &amp;&amp; .venv/Scripts/python manage.py runserver 127.0.0.1:8001 --noreload</w:t>
        <w:br/>
        <w:t>cd backend-clinic  &amp;&amp; CLINIC_LLM_ENABLED=true .venv/Scripts/python manage.py runserver 127.0.0.1:8002 --noreload</w:t>
        <w:br/>
        <w:t>cd frontend-clinic &amp;&amp; npm run dev            # :5174</w:t>
        <w:br/>
        <w:br/>
        <w:t># los seis niveles de la escalera</w:t>
        <w:br/>
        <w:t>cd backend-clinic</w:t>
        <w:br/>
        <w:t>.venv/Scripts/python manage.py demo_llm          # niveles 0 y 1</w:t>
        <w:br/>
        <w:t>.venv/Scripts/python manage.py demo_tools        # nivel 2 — los 4 escenarios</w:t>
        <w:br/>
        <w:t>.venv/Scripts/python manage.py demo_sugerencias  # nivel 3 — RAG + paso 6</w:t>
        <w:br/>
        <w:t>.venv/Scripts/python manage.py demo_agente       # nivel 4 — bucle + traza</w:t>
        <w:br/>
        <w:t>.venv/Scripts/python servidor_mcp.py             # publica 6 tools por stdio</w:t>
        <w:br/>
        <w:t>.venv/Scripts/python cliente_mcp.py              # las descubre SIN import</w:t>
        <w:br/>
        <w:br/>
        <w:t># las mediciones</w:t>
        <w:br/>
        <w:t>.venv/Scripts/python manage.py eval_enrutado</w:t>
        <w:br/>
        <w:t>.venv/Scripts/python manage.py eval_rag --con-juez</w:t>
        <w:br/>
        <w:t>.venv/Scripts/python manage.py eval_memoria</w:t>
        <w:br/>
        <w:t>cd ../backend-ml &amp;&amp; python training/eval_correccion.py</w:t>
        <w:br/>
        <w:br/>
        <w:t># la suite</w:t>
        <w:br/>
        <w:t>cd backend-clinic &amp;&amp; .venv/Scripts/python -m pytest</w:t>
      </w:r>
    </w:p>
    <w:p/>
    <w:p>
      <w:r>
        <w:t xml:space="preserve">*Repositorio: </w:t>
      </w:r>
      <w:r>
        <w:rPr>
          <w:rFonts w:ascii="Consolas" w:hAnsi="Consolas"/>
          <w:sz w:val="19"/>
        </w:rPr>
        <w:t>github.com/guillemc92/karyoumss</w:t>
      </w:r>
      <w:r>
        <w:t xml:space="preserve">, rama </w:t>
      </w:r>
      <w:r>
        <w:rPr>
          <w:rFonts w:ascii="Consolas" w:hAnsi="Consolas"/>
          <w:sz w:val="19"/>
        </w:rPr>
        <w:t>feature/clinic-django-stack</w:t>
      </w:r>
      <w: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