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/>
        <w:jc w:val="center"/>
      </w:pPr>
      <w:r>
        <w:drawing>
          <wp:inline xmlns:a="http://schemas.openxmlformats.org/drawingml/2006/main" xmlns:pic="http://schemas.openxmlformats.org/drawingml/2006/picture">
            <wp:extent cx="3060000" cy="5260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stgrado fcy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526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520" w:after="0"/>
        <w:jc w:val="center"/>
      </w:pPr>
      <w:r>
        <w:rPr>
          <w:b/>
          <w:color w:val="1F3455"/>
          <w:sz w:val="26"/>
        </w:rPr>
        <w:t>UNIVERSIDAD MAYOR DE SAN SIMÓN</w:t>
      </w:r>
    </w:p>
    <w:p>
      <w:pPr>
        <w:spacing w:before="40" w:after="0"/>
        <w:jc w:val="center"/>
      </w:pPr>
      <w:r>
        <w:rPr>
          <w:b w:val="0"/>
          <w:color w:val="6B7280"/>
          <w:sz w:val="21"/>
        </w:rPr>
      </w:r>
    </w:p>
    <w:p>
      <w:pPr>
        <w:spacing w:before="40" w:after="0"/>
        <w:jc w:val="center"/>
      </w:pPr>
      <w:r>
        <w:rPr>
          <w:b w:val="0"/>
          <w:color w:val="6B7280"/>
          <w:sz w:val="21"/>
        </w:rPr>
      </w:r>
    </w:p>
    <w:p>
      <w:pPr>
        <w:spacing w:before="920"/>
        <w:jc w:val="center"/>
      </w:pPr>
      <w:r>
        <w:rPr>
          <w:b/>
          <w:color w:val="B5670F"/>
          <w:sz w:val="24"/>
        </w:rPr>
        <w:t>DOCUMENTO FINAL DE PRESENTACIÓN</w:t>
      </w:r>
    </w:p>
    <w:p>
      <w:pPr>
        <w:spacing w:before="200"/>
        <w:jc w:val="center"/>
      </w:pPr>
      <w:r>
        <w:rPr>
          <w:rFonts w:ascii="Cambria" w:hAnsi="Cambria"/>
          <w:b/>
          <w:color w:val="1F3455"/>
          <w:sz w:val="52"/>
        </w:rPr>
        <w:t>BIOMED UMSS — Plataforma de Cariotipado Asistido por IA</w:t>
      </w:r>
    </w:p>
    <w:p>
      <w:pPr>
        <w:spacing w:before="120"/>
        <w:jc w:val="center"/>
      </w:pPr>
      <w:r>
        <w:rPr>
          <w:i/>
          <w:color w:val="6B7280"/>
          <w:sz w:val="23"/>
        </w:rPr>
      </w:r>
    </w:p>
    <w:p>
      <w:pPr>
        <w:spacing w:after="3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381"/>
            <w:shd w:val="clear" w:fill="F1F3F8"/>
          </w:tcPr>
          <w:p>
            <w:r>
              <w:rPr>
                <w:b/>
                <w:color w:val="1F3455"/>
                <w:sz w:val="20"/>
              </w:rPr>
              <w:t>Equipo</w:t>
            </w:r>
          </w:p>
        </w:tc>
        <w:tc>
          <w:tcPr>
            <w:tcW w:type="dxa" w:w="7030"/>
          </w:tcPr>
          <w:p>
            <w:r>
              <w:rPr>
                <w:color w:val="B0B6C0"/>
                <w:sz w:val="20"/>
              </w:rPr>
              <w:t>Individual</w:t>
            </w:r>
          </w:p>
        </w:tc>
      </w:tr>
      <w:tr>
        <w:tc>
          <w:tcPr>
            <w:tcW w:type="dxa" w:w="4873"/>
          </w:tcPr>
          <w:p>
            <w:r>
              <w:t>Integrantes</w:t>
            </w:r>
          </w:p>
        </w:tc>
        <w:tc>
          <w:tcPr>
            <w:tcW w:type="dxa" w:w="4873"/>
          </w:tcPr>
          <w:p>
            <w:r>
              <w:t>Mamani Chambi, Guillermo</w:t>
            </w:r>
          </w:p>
        </w:tc>
      </w:tr>
      <w:tr>
        <w:tc>
          <w:tcPr>
            <w:tcW w:type="dxa" w:w="4873"/>
          </w:tcPr>
          <w:p>
            <w:r>
              <w:t>Módulo</w:t>
            </w:r>
          </w:p>
        </w:tc>
        <w:tc>
          <w:tcPr>
            <w:tcW w:type="dxa" w:w="4873"/>
          </w:tcPr>
          <w:p>
            <w:r>
              <w:t>M6 — Integración de IA en Productos de Software</w:t>
            </w:r>
          </w:p>
        </w:tc>
      </w:tr>
      <w:tr>
        <w:tc>
          <w:tcPr>
            <w:tcW w:type="dxa" w:w="4873"/>
          </w:tcPr>
          <w:p>
            <w:r>
              <w:t>Docente</w:t>
            </w:r>
          </w:p>
        </w:tc>
        <w:tc>
          <w:tcPr>
            <w:tcW w:type="dxa" w:w="4873"/>
          </w:tcPr>
          <w:p>
            <w:r>
              <w:t>M.Sc. Luis Marcelo Garay Choqueribe</w:t>
            </w:r>
          </w:p>
        </w:tc>
      </w:tr>
      <w:tr>
        <w:tc>
          <w:tcPr>
            <w:tcW w:type="dxa" w:w="4873"/>
          </w:tcPr>
          <w:p>
            <w:r>
              <w:t>Repositorio</w:t>
            </w:r>
          </w:p>
        </w:tc>
        <w:tc>
          <w:tcPr>
            <w:tcW w:type="dxa" w:w="4873"/>
          </w:tcPr>
          <w:p>
            <w:r>
              <w:t>https://github.com/guillemc92/karyoumss (rama feature/clinic-django-stack)</w:t>
            </w:r>
          </w:p>
        </w:tc>
      </w:tr>
      <w:tr>
        <w:tc>
          <w:tcPr>
            <w:tcW w:type="dxa" w:w="4873"/>
          </w:tcPr>
          <w:p>
            <w:r>
              <w:t>Fecha</w:t>
            </w:r>
          </w:p>
        </w:tc>
        <w:tc>
          <w:tcPr>
            <w:tcW w:type="dxa" w:w="4873"/>
          </w:tcPr>
          <w:p>
            <w:r>
              <w:t>21/08/2026</w:t>
            </w:r>
          </w:p>
        </w:tc>
      </w:tr>
    </w:tbl>
    <w:p>
      <w:r>
        <w:br w:type="page"/>
      </w:r>
    </w:p>
    <w:p>
      <w:pPr>
        <w:spacing w:after="40"/>
      </w:pPr>
    </w:p>
    <w:p>
      <w:r>
        <w:br w:type="page"/>
      </w:r>
    </w:p>
    <w:p>
      <w:pPr>
        <w:spacing w:before="320" w:after="100"/>
        <w:pBdr>
          <w:bottom w:val="single" w:sz="6" w:space="3" w:color="D9CBB0"/>
        </w:pBdr>
      </w:pPr>
      <w:r>
        <w:rPr>
          <w:rFonts w:ascii="Cambria" w:hAnsi="Cambria"/>
          <w:b/>
          <w:color w:val="1F3455"/>
          <w:sz w:val="28"/>
        </w:rPr>
        <w:t>Índice</w:t>
      </w:r>
    </w:p>
    <w:p>
      <w:r/>
      <w:fldSimple w:instr="TOC \o &quot;1-2&quot; \h \z \u">
        <w:p>
          <w:r>
            <w:t>Índice automático — en Word: clic derecho sobre esta línea → «Actualizar campos» → «Actualizar toda la tabla».</w:t>
          </w:r>
        </w:p>
      </w:fldSimple>
    </w:p>
    <w:p>
      <w:pPr>
        <w:spacing w:after="120"/>
      </w:pPr>
      <w:r>
        <w:rPr>
          <w:rFonts w:ascii="Calibri" w:hAnsi="Calibri"/>
          <w:b w:val="0"/>
          <w:i w:val="0"/>
          <w:color w:val="2A2A33"/>
          <w:sz w:val="21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907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Cap.</w:t>
            </w:r>
          </w:p>
        </w:tc>
        <w:tc>
          <w:tcPr>
            <w:tcW w:type="dxa" w:w="6236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Contenido</w:t>
            </w:r>
          </w:p>
        </w:tc>
        <w:tc>
          <w:tcPr>
            <w:tcW w:type="dxa" w:w="2268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Págs. sugeridas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2A2A33"/>
                <w:sz w:val="19"/>
              </w:rPr>
              <w:t>1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2A2A33"/>
                <w:sz w:val="19"/>
              </w:rPr>
              <w:t>Resumen ejecutivo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2A2A33"/>
                <w:sz w:val="19"/>
              </w:rPr>
              <w:t>1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2A2A33"/>
                <w:sz w:val="19"/>
              </w:rPr>
              <w:t>2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2A2A33"/>
                <w:sz w:val="19"/>
              </w:rPr>
              <w:t>El problema y el producto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2A2A33"/>
                <w:sz w:val="19"/>
              </w:rPr>
              <w:t>1–2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2A2A33"/>
                <w:sz w:val="19"/>
              </w:rPr>
              <w:t>3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2A2A33"/>
                <w:sz w:val="19"/>
              </w:rPr>
              <w:t>Inteligencia artificial aplicada al proyecto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2A2A33"/>
                <w:sz w:val="19"/>
              </w:rPr>
              <w:t>2–3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2A2A33"/>
                <w:sz w:val="19"/>
              </w:rPr>
              <w:t>4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2A2A33"/>
                <w:sz w:val="19"/>
              </w:rPr>
              <w:t>Arquitectura de la solución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2A2A33"/>
                <w:sz w:val="19"/>
              </w:rPr>
              <w:t>1–2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2A2A33"/>
                <w:sz w:val="19"/>
              </w:rPr>
              <w:t>5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2A2A33"/>
                <w:sz w:val="19"/>
              </w:rPr>
              <w:t>Herramientas y niveles de integración implementados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2A2A33"/>
                <w:sz w:val="19"/>
              </w:rPr>
              <w:t>3–5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2A2A33"/>
                <w:sz w:val="19"/>
              </w:rPr>
              <w:t>6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2A2A33"/>
                <w:sz w:val="19"/>
              </w:rPr>
              <w:t>Orquestación (opcional)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2A2A33"/>
                <w:sz w:val="19"/>
              </w:rPr>
              <w:t>1–2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2A2A33"/>
                <w:sz w:val="19"/>
              </w:rPr>
              <w:t>7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2A2A33"/>
                <w:sz w:val="19"/>
              </w:rPr>
              <w:t>Evidencias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2A2A33"/>
                <w:sz w:val="19"/>
              </w:rPr>
              <w:t>1–2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2A2A33"/>
                <w:sz w:val="19"/>
              </w:rPr>
              <w:t>8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2A2A33"/>
                <w:sz w:val="19"/>
              </w:rPr>
              <w:t>Conclusiones y trabajo futuro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2A2A33"/>
                <w:sz w:val="19"/>
              </w:rPr>
              <w:t>1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2A2A33"/>
                <w:sz w:val="19"/>
              </w:rPr>
              <w:t>—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2A2A33"/>
                <w:sz w:val="19"/>
              </w:rPr>
              <w:t>Anexos: capturas, trazas, enlaces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rFonts w:ascii="Calibri" w:hAnsi="Calibri"/>
                <w:b w:val="0"/>
                <w:color w:val="2A2A33"/>
                <w:sz w:val="19"/>
              </w:rPr>
              <w:t>libre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320" w:after="100"/>
        <w:pBdr>
          <w:bottom w:val="single" w:sz="6" w:space="3" w:color="D9CBB0"/>
        </w:pBdr>
      </w:pPr>
      <w:r>
        <w:rPr>
          <w:rFonts w:ascii="Cambria" w:hAnsi="Cambria"/>
          <w:b/>
          <w:color w:val="1F3455"/>
          <w:sz w:val="28"/>
        </w:rPr>
        <w:t>1 · Resumen ejecutivo</w:t>
      </w:r>
    </w:p>
    <w:p>
      <w:pPr>
        <w:spacing w:after="120"/>
      </w:pPr>
      <w:r>
        <w:rPr>
          <w:i/>
          <w:color w:val="6B7280"/>
          <w:sz w:val="18"/>
        </w:rPr>
      </w:r>
    </w:p>
    <w:p>
      <w:pPr>
        <w:spacing w:after="120"/>
      </w:pPr>
      <w:r>
        <w:rPr>
          <w:rFonts w:ascii="Calibri" w:hAnsi="Calibri"/>
          <w:b w:val="0"/>
          <w:i w:val="0"/>
          <w:color w:val="2A2A33"/>
          <w:sz w:val="21"/>
        </w:rPr>
        <w:t>Debe poder leerse solo y dejar claras cinco cosas, en este orden: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A2A33"/>
          <w:sz w:val="21"/>
        </w:rPr>
        <w:t>Qué problema resuelve el producto y para quién.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A2A33"/>
          <w:sz w:val="21"/>
        </w:rPr>
        <w:t>Qué parte del producto usa inteligencia artificial (no todo el sistema: la parte concreta).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A2A33"/>
          <w:sz w:val="21"/>
        </w:rPr>
        <w:t>Qué nivel de la escalera de integración alcanzaron, y por qué ese y no otro.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A2A33"/>
          <w:sz w:val="21"/>
        </w:rPr>
        <w:t>Qué está funcionando hoy y qué queda pendiente.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A2A33"/>
          <w:sz w:val="21"/>
        </w:rPr>
        <w:t>Un dato duro: número de herramientas, documentos indexados, tiempo de respuesta o costo por consulta.</w:t>
      </w:r>
    </w:p>
    <w:p>
      <w:pPr>
        <w:spacing w:before="160" w:after="40"/>
      </w:pPr>
      <w:r>
        <w:rPr>
          <w:b/>
          <w:color w:val="1F3455"/>
          <w:sz w:val="21"/>
        </w:rPr>
        <w:t>Resumen</w:t>
      </w:r>
      <w:r>
        <w:rPr>
          <w:i/>
          <w:color w:val="6B7280"/>
          <w:sz w:val="18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El Laboratorio de Genética del IIBISMED (UMSS) analiza cariotipos a mano: un citogenetista recorta cromosomas de una fotografía de metafase y los ordena en 24 pares. Cada caso son horas de trabajo de un especialista escaso.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Este producto automatiza la PROPUESTA: segmenta la metafase, clasifica cada cromosoma con un EfficientNet-B3 entrenado sobre 48.000 recortes del propio laboratorio, y la presenta con un semáforo de confianza. La IA no diagnostica: propone, y el analista corrige.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Sobre esa base clínica se construyó la capa que este módulo evalúa: consultas en lenguaje natural sobre el estado del laboratorio y su documentación, resueltas por un agente con seis herramientas publicadas por MCP. Se implementaron los seis niveles de la escalera, del 0 al 5.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Funciona hoy el flujo completo, de la metafase al informe firmado con nomenclatura ISCN. No funciona todavía como ayuda real: se midió que corregir la propuesta cuesta 64 acciones frente a 46 de hacerlo a mano.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El dato duro: 6 herramientas por MCP, 1.144 fragmentos indexados, 596 pruebas automatizadas y cinco instrumentos de medición reproducibles. Ninguna afirmación de este documento carece de un comando que la verifique.</w:t>
            </w:r>
          </w:p>
        </w:tc>
      </w:tr>
    </w:tbl>
    <w:p>
      <w:pPr>
        <w:spacing w:after="0"/>
      </w:pPr>
    </w:p>
    <w:p>
      <w:pPr>
        <w:spacing w:after="40"/>
      </w:pPr>
    </w:p>
    <w:p>
      <w:r>
        <w:br w:type="page"/>
      </w:r>
    </w:p>
    <w:p>
      <w:pPr>
        <w:spacing w:before="320" w:after="100"/>
        <w:pBdr>
          <w:bottom w:val="single" w:sz="6" w:space="3" w:color="D9CBB0"/>
        </w:pBdr>
      </w:pPr>
      <w:r>
        <w:rPr>
          <w:rFonts w:ascii="Cambria" w:hAnsi="Cambria"/>
          <w:b/>
          <w:color w:val="1F3455"/>
          <w:sz w:val="28"/>
        </w:rPr>
        <w:t>2 · El problema y el producto</w:t>
      </w:r>
    </w:p>
    <w:p>
      <w:pPr>
        <w:spacing w:before="200" w:after="60"/>
      </w:pPr>
      <w:r>
        <w:rPr>
          <w:b/>
          <w:color w:val="B5670F"/>
          <w:sz w:val="23"/>
        </w:rPr>
        <w:t>2.1 · El problema</w:t>
      </w:r>
    </w:p>
    <w:p>
      <w:pPr>
        <w:spacing w:before="160" w:after="40"/>
      </w:pPr>
      <w:r>
        <w:rPr>
          <w:b/>
          <w:color w:val="1F3455"/>
          <w:sz w:val="21"/>
        </w:rPr>
        <w:t>¿Qué problema real existe hoy, y a quién le duele?</w:t>
      </w:r>
      <w:r>
        <w:rPr>
          <w:i/>
          <w:color w:val="6B7280"/>
          <w:sz w:val="18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Un cariotipo es la fotografía ordenada de los 46 cromosomas de una célula. Sirve para diagnosticar síndrome de Down, Turner, Klinefelter, leucemias y esterilidad de origen genético.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Obtenerlo exige que una persona identifique cada cromosoma en una imagen donde aparecen amontonados, girados y superpuestos; los recorte; los clasifique en 24 categorías y los ordene por tamaño. Es trabajo manual, lento y escaso: en Cochabamba hay pocos citogenetistas formados y cada caso les ocupa horas.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El cuello de botella no es el microscopio. Es el tiempo de un especialista.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b/>
          <w:color w:val="B5670F"/>
          <w:sz w:val="23"/>
        </w:rPr>
        <w:t>2.2 · Cómo se resuelve hoy (sin el sistema)</w:t>
      </w:r>
    </w:p>
    <w:p>
      <w:pPr>
        <w:spacing w:before="160" w:after="40"/>
      </w:pPr>
      <w:r>
        <w:rPr>
          <w:b/>
          <w:color w:val="1F3455"/>
          <w:sz w:val="21"/>
        </w:rPr>
        <w:t>El proceso actual</w:t>
      </w:r>
      <w:r>
        <w:rPr>
          <w:i/>
          <w:color w:val="6B7280"/>
          <w:sz w:val="18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El laboratorio tiene un sistema legado propio, que este proyecto reemplaza. Su base de datos —SQL Server, SCAMC, 48 tablas— cubre bastante más que la citogenética: junto a SCAAnalisisCariotipos conviven SCAAnalisisFISH, SCAAnalisisMovilidad, SCAAnalisisVitalidad y SCAAglutinaciones. De ahí salieron las 1.113 imágenes de cariograma y metafase con las que se entrenó el clasificador.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El informe final, en cambio, se redacta a mano en Word a partir de una plantilla. El archivo histórico lo confirma: de 462 informes revisados, 208 son documentos escaneados —el cariotipo está dibujado, no escrito— y 251 están redigitados. La transición de papel a digital está a medias, y el paso del cariotipo al documento sigue siendo manual.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b/>
          <w:color w:val="B5670F"/>
          <w:sz w:val="23"/>
        </w:rPr>
        <w:t>2.3 · El producto</w:t>
      </w:r>
    </w:p>
    <w:p>
      <w:pPr>
        <w:spacing w:before="160" w:after="40"/>
      </w:pPr>
      <w:r>
        <w:rPr>
          <w:b/>
          <w:color w:val="1F3455"/>
          <w:sz w:val="21"/>
        </w:rPr>
        <w:t>Qué construyeron y qué hace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Una plataforma web donde el analista registra una muestra, sube las metafases y recibe una propuesta de cariotipo con un semáforo de confianza por cromosoma. Corrige lo que haga falta sobre un lienzo interactivo, valida el caso, y un supervisor lo firma con doble factor. El sistema emite entonces la nomenclatura ISCN y un borrador de narrativa clínica.</w:t>
            </w:r>
          </w:p>
        </w:tc>
      </w:tr>
    </w:tbl>
    <w:p>
      <w:pPr>
        <w:spacing w:after="0"/>
      </w:pPr>
    </w:p>
    <w:p>
      <w:pPr>
        <w:spacing w:before="160" w:after="40"/>
      </w:pPr>
      <w:r>
        <w:rPr>
          <w:b/>
          <w:color w:val="1F3455"/>
          <w:sz w:val="21"/>
        </w:rPr>
        <w:t>Usuarios del sistema</w:t>
      </w:r>
      <w:r>
        <w:rPr>
          <w:i/>
          <w:color w:val="6B7280"/>
          <w:sz w:val="18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Analista citogenetista: registra la muestra, corrige el cariotipo propuesto y valida el caso.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Supervisor clínico: audita el 5% aleatorio, firma con MFA y emite el informe. No puede ser la misma persona que el analista.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Administrador TI: gestiona usuarios, permisos y la configuración del modelo.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b/>
          <w:color w:val="B5670F"/>
          <w:sz w:val="23"/>
        </w:rPr>
        <w:t>2.4 · Alcance de esta entrega</w:t>
      </w:r>
    </w:p>
    <w:p>
      <w:pPr>
        <w:spacing w:after="120"/>
      </w:pPr>
      <w:r>
        <w:rPr>
          <w:rFonts w:ascii="Calibri" w:hAnsi="Calibri"/>
          <w:b w:val="0"/>
          <w:i w:val="0"/>
          <w:color w:val="2A2A33"/>
          <w:sz w:val="21"/>
        </w:rPr>
        <w:t>Marquen con claridad qué entra y qué no en lo que van a demostrar.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706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Sí está implementado y se demuestra</w:t>
            </w:r>
          </w:p>
        </w:tc>
        <w:tc>
          <w:tcPr>
            <w:tcW w:type="dxa" w:w="4706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Queda fuera de esta entrega</w:t>
            </w:r>
          </w:p>
        </w:tc>
      </w:tr>
      <w:tr>
        <w:tc>
          <w:tcPr>
            <w:tcW w:type="dxa" w:w="4873"/>
          </w:tcPr>
          <w:p>
            <w:r>
              <w:t>Segmentación y clasificación de metafases reales</w:t>
            </w:r>
          </w:p>
        </w:tc>
        <w:tc>
          <w:tcPr>
            <w:tcW w:type="dxa" w:w="4873"/>
          </w:tcPr>
          <w:p>
            <w:r>
              <w:t>Segmentación con U-Net — es diseño, no implementación</w:t>
            </w:r>
          </w:p>
        </w:tc>
      </w:tr>
      <w:tr>
        <w:tc>
          <w:tcPr>
            <w:tcW w:type="dxa" w:w="4873"/>
          </w:tcPr>
          <w:p>
            <w:r>
              <w:t>Semáforo de confianza y bloqueo de emisión del informe</w:t>
            </w:r>
          </w:p>
        </w:tc>
        <w:tc>
          <w:tcPr>
            <w:tcW w:type="dxa" w:w="4873"/>
          </w:tcPr>
          <w:p>
            <w:r>
              <w:t>Análisis de 20 metafases por caso con consenso</w:t>
            </w:r>
          </w:p>
        </w:tc>
      </w:tr>
      <w:tr>
        <w:tc>
          <w:tcPr>
            <w:tcW w:type="dxa" w:w="4873"/>
          </w:tcPr>
          <w:p>
            <w:r>
              <w:t>Corrección manual: recortar, separar, unir, reclasificar</w:t>
            </w:r>
          </w:p>
        </w:tc>
        <w:tc>
          <w:tcPr>
            <w:tcW w:type="dxa" w:w="4873"/>
          </w:tcPr>
          <w:p>
            <w:r>
              <w:t>Anotación sobre la imagen de la metafase</w:t>
            </w:r>
          </w:p>
        </w:tc>
      </w:tr>
      <w:tr>
        <w:tc>
          <w:tcPr>
            <w:tcW w:type="dxa" w:w="4873"/>
          </w:tcPr>
          <w:p>
            <w:r>
              <w:t>Explicabilidad con Grad-CAM real</w:t>
            </w:r>
          </w:p>
        </w:tc>
        <w:tc>
          <w:tcPr>
            <w:tcW w:type="dxa" w:w="4873"/>
          </w:tcPr>
          <w:p>
            <w:r>
              <w:t>Estimación de bandas y solapamientos (ADR-0026, decidido)</w:t>
            </w:r>
          </w:p>
        </w:tc>
      </w:tr>
      <w:tr>
        <w:tc>
          <w:tcPr>
            <w:tcW w:type="dxa" w:w="4873"/>
          </w:tcPr>
          <w:p>
            <w:r>
              <w:t>Nomenclatura ISCN y narrativa clínica</w:t>
            </w:r>
          </w:p>
        </w:tc>
        <w:tc>
          <w:tcPr>
            <w:tcW w:type="dxa" w:w="4873"/>
          </w:tcPr>
          <w:p>
            <w:r>
              <w:t>Exportación del informe a PDF</w:t>
            </w:r>
          </w:p>
        </w:tc>
      </w:tr>
      <w:tr>
        <w:tc>
          <w:tcPr>
            <w:tcW w:type="dxa" w:w="4873"/>
          </w:tcPr>
          <w:p>
            <w:r>
              <w:t>Consultas en lenguaje natural, RAG, agente + MCP</w:t>
            </w:r>
          </w:p>
        </w:tc>
        <w:tc>
          <w:tcPr>
            <w:tcW w:type="dxa" w:w="4873"/>
          </w:tcPr>
          <w:p>
            <w:r>
              <w:t>Procesamiento asíncrono con Celery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320" w:after="100"/>
        <w:pBdr>
          <w:bottom w:val="single" w:sz="6" w:space="3" w:color="D9CBB0"/>
        </w:pBdr>
      </w:pPr>
      <w:r>
        <w:rPr>
          <w:rFonts w:ascii="Cambria" w:hAnsi="Cambria"/>
          <w:b/>
          <w:color w:val="1F3455"/>
          <w:sz w:val="28"/>
        </w:rPr>
        <w:t>3 · Inteligencia artificial aplicada al proyecto</w:t>
      </w:r>
    </w:p>
    <w:p>
      <w:pPr>
        <w:spacing w:after="120"/>
      </w:pPr>
      <w:r>
        <w:rPr>
          <w:i/>
          <w:color w:val="6B7280"/>
          <w:sz w:val="18"/>
        </w:rPr>
      </w:r>
    </w:p>
    <w:p>
      <w:pPr>
        <w:spacing w:before="200" w:after="60"/>
      </w:pPr>
      <w:r>
        <w:rPr>
          <w:b/>
          <w:color w:val="B5670F"/>
          <w:sz w:val="23"/>
        </w:rPr>
        <w:t>3.1 · Qué hace la IA en este producto</w:t>
      </w:r>
    </w:p>
    <w:p>
      <w:pPr>
        <w:spacing w:after="120"/>
      </w:pPr>
      <w:r>
        <w:rPr>
          <w:rFonts w:ascii="Calibri" w:hAnsi="Calibri"/>
          <w:b w:val="0"/>
          <w:i w:val="0"/>
          <w:color w:val="2A2A33"/>
          <w:sz w:val="21"/>
        </w:rPr>
        <w:t>Sean concretos. No vale «el sistema usa IA para mejorar la experiencia». Vale «el sistema convierte una pregunta en lenguaje natural en una consulta al catálogo y devuelve la respuesta citando el artículo del reglamento».</w:t>
      </w:r>
    </w:p>
    <w:p>
      <w:pPr>
        <w:spacing w:before="160" w:after="40"/>
      </w:pPr>
      <w:r>
        <w:rPr>
          <w:b/>
          <w:color w:val="1F3455"/>
          <w:sz w:val="21"/>
        </w:rPr>
        <w:t>La función que cumple la IA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Hay dos capas de IA distintas, y conviene no confundirlas.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La capa clínica (visión por computadora) convierte una fotografía de metafase en una lista de cromosomas con su clase y su confianza: segmentación con OpenCV y watershed, clasificación con un EfficientNet-B3 entrenado sobre 48.000 recortes de los cariogramas del propio laboratorio.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La capa conversacional (lenguaje) convierte una pregunta escrita por un analista en una consulta ejecutada contra la base de datos o el corpus documental, devolviendo siempre de dónde salió el dato.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La segunda es la que este módulo evalúa. La primera es el producto.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b/>
          <w:color w:val="B5670F"/>
          <w:sz w:val="23"/>
        </w:rPr>
        <w:t>3.2 · Por qué IA y no una consulta SQL o un formulario</w:t>
      </w:r>
    </w:p>
    <w:p>
      <w:pPr>
        <w:spacing w:after="40"/>
      </w:pPr>
    </w:p>
    <w:p>
      <w:pPr>
        <w:spacing w:before="160" w:after="40"/>
      </w:pPr>
      <w:r>
        <w:rPr>
          <w:b/>
          <w:color w:val="1F3455"/>
          <w:sz w:val="21"/>
        </w:rPr>
        <w:t>Justificación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Para la capa clínica no hay alternativa clásica. Nadie ha escrito un «if» que distinga un cromosoma 7 de un 8 en una fotografía. Es reconocimiento de formas: o hay un modelo, o hay una persona.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Para la capa conversacional sí la hay, y en parte se usa: el sistema tiene un camino sin modelo. Si la pregunta contiene una palabra del catálogo, se ejecuta la herramienta directamente; el modelo solo entra cuando el vocabulario no coincide.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Lo que aporta el modelo, medido: tolerancia a sinónimos. «¿Cuáles necesitan que el analista los mire de nuevo?» no comparte ni una palabra con CROMOSOMAS_PARA_REVISION y se resuelve igual. Un formulario con filtros exigiría que el analista conociera el vocabulario del sistema.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Y hay algo que un formulario no da: el sistema sabe decir que no sabe. Ante «¿cuál es el presupuesto del laboratorio?» responde que no puede, en vez de devolver una lista de casos que no viene a cuento.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b/>
          <w:color w:val="B5670F"/>
          <w:sz w:val="23"/>
        </w:rPr>
        <w:t>3.3 · Nivel de la escalera de integración alcanzado</w:t>
      </w:r>
    </w:p>
    <w:p>
      <w:pPr>
        <w:spacing w:after="120"/>
      </w:pPr>
      <w:r>
        <w:rPr>
          <w:rFonts w:ascii="Calibri" w:hAnsi="Calibri"/>
          <w:b w:val="0"/>
          <w:i w:val="0"/>
          <w:color w:val="2A2A33"/>
          <w:sz w:val="21"/>
        </w:rPr>
        <w:t>Marquen el nivel máximo que tienen funcionando y descríbanlo en una línea.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381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Nivel</w:t>
            </w:r>
          </w:p>
        </w:tc>
        <w:tc>
          <w:tcPr>
            <w:tcW w:type="dxa" w:w="3061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Qué significa</w:t>
            </w:r>
          </w:p>
        </w:tc>
        <w:tc>
          <w:tcPr>
            <w:tcW w:type="dxa" w:w="1247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¿Lo tienen?</w:t>
            </w:r>
          </w:p>
        </w:tc>
        <w:tc>
          <w:tcPr>
            <w:tcW w:type="dxa" w:w="2721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Dónde se ve en su sistema</w:t>
            </w:r>
          </w:p>
        </w:tc>
      </w:tr>
      <w:tr>
        <w:tc>
          <w:tcPr>
            <w:tcW w:type="dxa" w:w="2436"/>
          </w:tcPr>
          <w:p>
            <w:r>
              <w:t>0 · Modelo como dependencia</w:t>
            </w:r>
          </w:p>
        </w:tc>
        <w:tc>
          <w:tcPr>
            <w:tcW w:type="dxa" w:w="2436"/>
          </w:tcPr>
          <w:p>
            <w:r>
              <w:t>una llamada, una respuesta</w:t>
            </w:r>
          </w:p>
        </w:tc>
        <w:tc>
          <w:tcPr>
            <w:tcW w:type="dxa" w:w="2436"/>
          </w:tcPr>
          <w:p>
            <w:r>
              <w:t>SÍ</w:t>
            </w:r>
          </w:p>
        </w:tc>
        <w:tc>
          <w:tcPr>
            <w:tcW w:type="dxa" w:w="2436"/>
          </w:tcPr>
          <w:p>
            <w:r>
              <w:t>narrativa clínica del informe (llm_client.py)</w:t>
            </w:r>
          </w:p>
        </w:tc>
      </w:tr>
      <w:tr>
        <w:tc>
          <w:tcPr>
            <w:tcW w:type="dxa" w:w="2436"/>
          </w:tcPr>
          <w:p>
            <w:r>
              <w:t>1 · Salida estructurada</w:t>
            </w:r>
          </w:p>
        </w:tc>
        <w:tc>
          <w:tcPr>
            <w:tcW w:type="dxa" w:w="2436"/>
          </w:tcPr>
          <w:p>
            <w:r>
              <w:t>JSON tipado y validado</w:t>
            </w:r>
          </w:p>
        </w:tc>
        <w:tc>
          <w:tcPr>
            <w:tcW w:type="dxa" w:w="2436"/>
          </w:tcPr>
          <w:p>
            <w:r>
              <w:t>SÍ</w:t>
            </w:r>
          </w:p>
        </w:tc>
        <w:tc>
          <w:tcPr>
            <w:tcW w:type="dxa" w:w="2436"/>
          </w:tcPr>
          <w:p>
            <w:r>
              <w:t>esquema Pydantic con reintento (llm_schemas.py)</w:t>
            </w:r>
          </w:p>
        </w:tc>
      </w:tr>
      <w:tr>
        <w:tc>
          <w:tcPr>
            <w:tcW w:type="dxa" w:w="2436"/>
          </w:tcPr>
          <w:p>
            <w:r>
              <w:t>2 · Tool calling</w:t>
            </w:r>
          </w:p>
        </w:tc>
        <w:tc>
          <w:tcPr>
            <w:tcW w:type="dxa" w:w="2436"/>
          </w:tcPr>
          <w:p>
            <w:r>
              <w:t>la IA ejecuta acciones del producto</w:t>
            </w:r>
          </w:p>
        </w:tc>
        <w:tc>
          <w:tcPr>
            <w:tcW w:type="dxa" w:w="2436"/>
          </w:tcPr>
          <w:p>
            <w:r>
              <w:t>SÍ</w:t>
            </w:r>
          </w:p>
        </w:tc>
        <w:tc>
          <w:tcPr>
            <w:tcW w:type="dxa" w:w="2436"/>
          </w:tcPr>
          <w:p>
            <w:r>
              <w:t>enrutador de 4 caminos (tool_router.py)</w:t>
            </w:r>
          </w:p>
        </w:tc>
      </w:tr>
      <w:tr>
        <w:tc>
          <w:tcPr>
            <w:tcW w:type="dxa" w:w="2436"/>
          </w:tcPr>
          <w:p>
            <w:r>
              <w:t>3 · RAG</w:t>
            </w:r>
          </w:p>
        </w:tc>
        <w:tc>
          <w:tcPr>
            <w:tcW w:type="dxa" w:w="2436"/>
          </w:tcPr>
          <w:p>
            <w:r>
              <w:t>responde con conocimiento propio y cita la fuente</w:t>
            </w:r>
          </w:p>
        </w:tc>
        <w:tc>
          <w:tcPr>
            <w:tcW w:type="dxa" w:w="2436"/>
          </w:tcPr>
          <w:p>
            <w:r>
              <w:t>SÍ</w:t>
            </w:r>
          </w:p>
        </w:tc>
        <w:tc>
          <w:tcPr>
            <w:tcW w:type="dxa" w:w="2436"/>
          </w:tcPr>
          <w:p>
            <w:r>
              <w:t>1.144 fragmentos indexados (rag_*.py)</w:t>
            </w:r>
          </w:p>
        </w:tc>
      </w:tr>
      <w:tr>
        <w:tc>
          <w:tcPr>
            <w:tcW w:type="dxa" w:w="2436"/>
          </w:tcPr>
          <w:p>
            <w:r>
              <w:t>4 · Agente + MCP</w:t>
            </w:r>
          </w:p>
        </w:tc>
        <w:tc>
          <w:tcPr>
            <w:tcW w:type="dxa" w:w="2436"/>
          </w:tcPr>
          <w:p>
            <w:r>
              <w:t>el modelo encadena pasos y descubre herramientas</w:t>
            </w:r>
          </w:p>
        </w:tc>
        <w:tc>
          <w:tcPr>
            <w:tcW w:type="dxa" w:w="2436"/>
          </w:tcPr>
          <w:p>
            <w:r>
              <w:t>SÍ</w:t>
            </w:r>
          </w:p>
        </w:tc>
        <w:tc>
          <w:tcPr>
            <w:tcW w:type="dxa" w:w="2436"/>
          </w:tcPr>
          <w:p>
            <w:r>
              <w:t>bucle ReAct + 6 tools (agente.py, servidor_mcp.py)</w:t>
            </w:r>
          </w:p>
        </w:tc>
      </w:tr>
      <w:tr>
        <w:tc>
          <w:tcPr>
            <w:tcW w:type="dxa" w:w="2436"/>
          </w:tcPr>
          <w:p>
            <w:r>
              <w:t>5 · Orquestación</w:t>
            </w:r>
          </w:p>
        </w:tc>
        <w:tc>
          <w:tcPr>
            <w:tcW w:type="dxa" w:w="2436"/>
          </w:tcPr>
          <w:p>
            <w:r>
              <w:t>flujo con estado, ramas y persistencia</w:t>
            </w:r>
          </w:p>
        </w:tc>
        <w:tc>
          <w:tcPr>
            <w:tcW w:type="dxa" w:w="2436"/>
          </w:tcPr>
          <w:p>
            <w:r>
              <w:t>PARCIAL</w:t>
            </w:r>
          </w:p>
        </w:tc>
        <w:tc>
          <w:tcPr>
            <w:tcW w:type="dxa" w:w="2436"/>
          </w:tcPr>
          <w:p>
            <w:r>
              <w:t>memoria conversacional (agente_grafo.py) — ver cap. 6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1F3455"/>
          <w:sz w:val="21"/>
        </w:rPr>
        <w:t>¿Por qué ese nivel y no el siguiente?</w:t>
      </w:r>
      <w:r>
        <w:rPr>
          <w:i/>
          <w:color w:val="6B7280"/>
          <w:sz w:val="18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El nivel 4 se justifica con una pregunta que ningún nivel anterior resuelve solo: «¿hay cromosomas pendientes de revisar, y por qué hay que revisarlos?». La primera mitad es estado (una herramienta contra la base); la segunda es una regla del laboratorio (el corpus). El orden no está programado en ninguna parte: lo decide el modelo.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Del nivel 5 se implementó solo la memoria conversacional, y el capítulo 6 explica por qué el resto no aplica a este dominio. No es falta de tiempo: es una decisión firmada en dos ADR.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Y en sentido contrario: se propuso una arquitectura de siete agentes para el pipeline de visión y se rechazó. Preprocesar, detectar y clasificar tienen un orden fijo e inevitable; un orquestador que reparte siempre igual es una caja de paso. Firmado en ADR-0031.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b/>
          <w:color w:val="B5670F"/>
          <w:sz w:val="23"/>
        </w:rPr>
        <w:t>3.4 · Riesgos propios de usar IA en este producto</w:t>
      </w:r>
    </w:p>
    <w:p>
      <w:pPr>
        <w:spacing w:after="120"/>
      </w:pPr>
      <w:r>
        <w:rPr>
          <w:rFonts w:ascii="Calibri" w:hAnsi="Calibri"/>
          <w:b w:val="0"/>
          <w:i w:val="0"/>
          <w:color w:val="2A2A33"/>
          <w:sz w:val="21"/>
        </w:rPr>
        <w:t>Todo sistema con un modelo de lenguaje tiene riesgos que un CRUD no tiene. Identifiquen los suyos y digan cómo los mitigan.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Riesgo</w:t>
            </w:r>
          </w:p>
        </w:tc>
        <w:tc>
          <w:tcPr>
            <w:tcW w:type="dxa" w:w="3288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Qué pasaría si ocurre</w:t>
            </w:r>
          </w:p>
        </w:tc>
        <w:tc>
          <w:tcPr>
            <w:tcW w:type="dxa" w:w="3288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Cómo lo mitigan hoy</w:t>
            </w:r>
          </w:p>
        </w:tc>
      </w:tr>
      <w:tr>
        <w:tc>
          <w:tcPr>
            <w:tcW w:type="dxa" w:w="3249"/>
          </w:tcPr>
          <w:p>
            <w:r>
              <w:t>El modelo inventa un umbral o una cifra clínica</w:t>
            </w:r>
          </w:p>
        </w:tc>
        <w:tc>
          <w:tcPr>
            <w:tcW w:type="dxa" w:w="3249"/>
          </w:tcPr>
          <w:p>
            <w:r>
              <w:t>Un analista actúa sobre un dato falso creyéndolo del sistema</w:t>
            </w:r>
          </w:p>
        </w:tc>
        <w:tc>
          <w:tcPr>
            <w:tcW w:type="dxa" w:w="3249"/>
          </w:tcPr>
          <w:p>
            <w:r>
              <w:t>El modelo SOLO elige una herramienta; las cifras salen de una consulta a la base. Pantalla y traza muestran la tabla de origen</w:t>
            </w:r>
          </w:p>
        </w:tc>
      </w:tr>
      <w:tr>
        <w:tc>
          <w:tcPr>
            <w:tcW w:type="dxa" w:w="3249"/>
          </w:tcPr>
          <w:p>
            <w:r>
              <w:t>El modelo atribuye a una fuente algo que no dijo</w:t>
            </w:r>
          </w:p>
        </w:tc>
        <w:tc>
          <w:tcPr>
            <w:tcW w:type="dxa" w:w="3249"/>
          </w:tcPr>
          <w:p>
            <w:r>
              <w:t>Pérdida de confianza en todo el sistema</w:t>
            </w:r>
          </w:p>
        </w:tc>
        <w:tc>
          <w:tcPr>
            <w:tcW w:type="dxa" w:w="3249"/>
          </w:tcPr>
          <w:p>
            <w:r>
              <w:t>Ocurrió: dio un umbral del 90% cuando el real es 85%. Corregido reforzando el prompt; la traza permite detectarlo</w:t>
            </w:r>
          </w:p>
        </w:tc>
      </w:tr>
      <w:tr>
        <w:tc>
          <w:tcPr>
            <w:tcW w:type="dxa" w:w="3249"/>
          </w:tcPr>
          <w:p>
            <w:r>
              <w:t>El cariotipo propuesto es incorrecto</w:t>
            </w:r>
          </w:p>
        </w:tc>
        <w:tc>
          <w:tcPr>
            <w:tcW w:type="dxa" w:w="3249"/>
          </w:tcPr>
          <w:p>
            <w:r>
              <w:t>Diagnóstico erróneo</w:t>
            </w:r>
          </w:p>
        </w:tc>
        <w:tc>
          <w:tcPr>
            <w:tcW w:type="dxa" w:w="3249"/>
          </w:tcPr>
          <w:p>
            <w:r>
              <w:t>Umbral 0,85: un solo cromosoma naranja BLOQUEA la emisión del informe (RN-01/RN-02)</w:t>
            </w:r>
          </w:p>
        </w:tc>
      </w:tr>
      <w:tr>
        <w:tc>
          <w:tcPr>
            <w:tcW w:type="dxa" w:w="3249"/>
          </w:tcPr>
          <w:p>
            <w:r>
              <w:t>El agente modifica datos clínicos</w:t>
            </w:r>
          </w:p>
        </w:tc>
        <w:tc>
          <w:tcPr>
            <w:tcW w:type="dxa" w:w="3249"/>
          </w:tcPr>
          <w:p>
            <w:r>
              <w:t>Un acto clínico sin responsable identificado</w:t>
            </w:r>
          </w:p>
        </w:tc>
        <w:tc>
          <w:tcPr>
            <w:tcW w:type="dxa" w:w="3249"/>
          </w:tcPr>
          <w:p>
            <w:r>
              <w:t>La única herramienta de escritura NUNCA ejecuta, ni con confirmación</w:t>
            </w:r>
          </w:p>
        </w:tc>
      </w:tr>
      <w:tr>
        <w:tc>
          <w:tcPr>
            <w:tcW w:type="dxa" w:w="3249"/>
          </w:tcPr>
          <w:p>
            <w:r>
              <w:t>Fuga de datos del paciente a un tercero</w:t>
            </w:r>
          </w:p>
        </w:tc>
        <w:tc>
          <w:tcPr>
            <w:tcW w:type="dxa" w:w="3249"/>
          </w:tcPr>
          <w:p>
            <w:r>
              <w:t>Incumplimiento de RN-03</w:t>
            </w:r>
          </w:p>
        </w:tc>
        <w:tc>
          <w:tcPr>
            <w:tcW w:type="dxa" w:w="3249"/>
          </w:tcPr>
          <w:p>
            <w:r>
              <w:t>El modelo corre LOCAL con Ollama. No hay clave de API ni egreso de datos</w:t>
            </w:r>
          </w:p>
        </w:tc>
      </w:tr>
      <w:tr>
        <w:tc>
          <w:tcPr>
            <w:tcW w:type="dxa" w:w="3249"/>
          </w:tcPr>
          <w:p>
            <w:r>
              <w:t>El proveedor del modelo cae</w:t>
            </w:r>
          </w:p>
        </w:tc>
        <w:tc>
          <w:tcPr>
            <w:tcW w:type="dxa" w:w="3249"/>
          </w:tcPr>
          <w:p>
            <w:r>
              <w:t>El sistema deja de responder</w:t>
            </w:r>
          </w:p>
        </w:tc>
        <w:tc>
          <w:tcPr>
            <w:tcW w:type="dxa" w:w="3249"/>
          </w:tcPr>
          <w:p>
            <w:r>
              <w:t>El camino por vocabulario sigue funcionando sin modelo (RN-07)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320" w:after="100"/>
        <w:pBdr>
          <w:bottom w:val="single" w:sz="6" w:space="3" w:color="D9CBB0"/>
        </w:pBdr>
      </w:pPr>
      <w:r>
        <w:rPr>
          <w:rFonts w:ascii="Cambria" w:hAnsi="Cambria"/>
          <w:b/>
          <w:color w:val="1F3455"/>
          <w:sz w:val="28"/>
        </w:rPr>
        <w:t>4 · Arquitectura de la solución</w:t>
      </w:r>
    </w:p>
    <w:p>
      <w:pPr>
        <w:spacing w:before="200" w:after="60"/>
      </w:pPr>
      <w:r>
        <w:rPr>
          <w:b/>
          <w:color w:val="B5670F"/>
          <w:sz w:val="23"/>
        </w:rPr>
        <w:t>4.1 · Diagrama de arquitectura</w:t>
      </w:r>
    </w:p>
    <w:p>
      <w:pPr>
        <w:spacing w:after="120"/>
      </w:pPr>
      <w:r>
        <w:rPr>
          <w:rFonts w:ascii="Calibri" w:hAnsi="Calibri"/>
          <w:b w:val="0"/>
          <w:i w:val="0"/>
          <w:color w:val="2A2A33"/>
          <w:sz w:val="21"/>
        </w:rPr>
        <w:t>Inserten aquí el diagrama. Debe mostrar, como mínimo: el cliente, su backend, el proveedor del modelo, el almacenamiento de datos y —si aplica— el vector store y el servidor MCP. Marquen con una flecha por dónde viaja la pregunta del usuario.</w:t>
      </w:r>
    </w:p>
    <w:p>
      <w:pPr>
        <w:spacing w:before="160" w:after="40"/>
      </w:pPr>
      <w:r>
        <w:rPr>
          <w:b/>
          <w:color w:val="1F3455"/>
          <w:sz w:val="21"/>
        </w:rPr>
        <w:t>&gt;&gt;&gt; PEGAR AQUI el diagrama de arquitectura (docs/M6_DOCUMENTO_FINAL.md §4.1, Mermaid) &lt;&lt;&lt;</w:t>
      </w:r>
      <w:r>
        <w:rPr>
          <w:i/>
          <w:color w:val="6B7280"/>
          <w:sz w:val="18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Ver el diagrama en la página siguiente. Por dónde viaja la pregunta del usuario: navegador → Caddy (:3000, un solo origen) → backend-clinic (:8002) → el enrutador decide el camino → si hace falta el modelo va a Ollama LOCAL (:11434) → la respuesta se construye con datos de PostgreSQL o del índice RAG → vuelve al navegador con la herramienta usada y la tabla de origen visibles en pantalla.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El diagrama en Mermaid está en el repositorio: docs/M6_DOCUMENTO_FINAL.md, sección 4.1.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b/>
          <w:color w:val="B5670F"/>
          <w:sz w:val="23"/>
        </w:rPr>
        <w:t>4.2 · Stack tecnológico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041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</w:t>
            </w:r>
          </w:p>
        </w:tc>
        <w:tc>
          <w:tcPr>
            <w:tcW w:type="dxa" w:w="2494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Tecnología</w:t>
            </w:r>
          </w:p>
        </w:tc>
        <w:tc>
          <w:tcPr>
            <w:tcW w:type="dxa" w:w="1247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Versión</w:t>
            </w:r>
          </w:p>
        </w:tc>
        <w:tc>
          <w:tcPr>
            <w:tcW w:type="dxa" w:w="3628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Por qué la eligieron</w:t>
            </w:r>
          </w:p>
        </w:tc>
      </w:tr>
      <w:tr>
        <w:tc>
          <w:tcPr>
            <w:tcW w:type="dxa" w:w="2436"/>
          </w:tcPr>
          <w:p>
            <w:r>
              <w:t>Backend clínico</w:t>
            </w:r>
          </w:p>
        </w:tc>
        <w:tc>
          <w:tcPr>
            <w:tcW w:type="dxa" w:w="2436"/>
          </w:tcPr>
          <w:p>
            <w:r>
              <w:t>Django + DRF</w:t>
            </w:r>
          </w:p>
        </w:tc>
        <w:tc>
          <w:tcPr>
            <w:tcW w:type="dxa" w:w="2436"/>
          </w:tcPr>
          <w:p>
            <w:r>
              <w:t>5.0.6</w:t>
            </w:r>
          </w:p>
        </w:tc>
        <w:tc>
          <w:tcPr>
            <w:tcW w:type="dxa" w:w="2436"/>
          </w:tcPr>
          <w:p>
            <w:r>
              <w:t>ORM maduro para un dominio con muchas reglas de negocio</w:t>
            </w:r>
          </w:p>
        </w:tc>
      </w:tr>
      <w:tr>
        <w:tc>
          <w:tcPr>
            <w:tcW w:type="dxa" w:w="2436"/>
          </w:tcPr>
          <w:p>
            <w:r>
              <w:t>Motor de inferencia</w:t>
            </w:r>
          </w:p>
        </w:tc>
        <w:tc>
          <w:tcPr>
            <w:tcW w:type="dxa" w:w="2436"/>
          </w:tcPr>
          <w:p>
            <w:r>
              <w:t>FastAPI</w:t>
            </w:r>
          </w:p>
        </w:tc>
        <w:tc>
          <w:tcPr>
            <w:tcW w:type="dxa" w:w="2436"/>
          </w:tcPr>
          <w:p>
            <w:r>
              <w:t>—</w:t>
            </w:r>
          </w:p>
        </w:tc>
        <w:tc>
          <w:tcPr>
            <w:tcW w:type="dxa" w:w="2436"/>
          </w:tcPr>
          <w:p>
            <w:r>
              <w:t>servicio aparte: la visión escala distinto que el CRUD</w:t>
            </w:r>
          </w:p>
        </w:tc>
      </w:tr>
      <w:tr>
        <w:tc>
          <w:tcPr>
            <w:tcW w:type="dxa" w:w="2436"/>
          </w:tcPr>
          <w:p>
            <w:r>
              <w:t>Visión</w:t>
            </w:r>
          </w:p>
        </w:tc>
        <w:tc>
          <w:tcPr>
            <w:tcW w:type="dxa" w:w="2436"/>
          </w:tcPr>
          <w:p>
            <w:r>
              <w:t>OpenCV + PyTorch</w:t>
            </w:r>
          </w:p>
        </w:tc>
        <w:tc>
          <w:tcPr>
            <w:tcW w:type="dxa" w:w="2436"/>
          </w:tcPr>
          <w:p>
            <w:r>
              <w:t>—</w:t>
            </w:r>
          </w:p>
        </w:tc>
        <w:tc>
          <w:tcPr>
            <w:tcW w:type="dxa" w:w="2436"/>
          </w:tcPr>
          <w:p>
            <w:r>
              <w:t>watershed clásico + EfficientNet-B3 entrenado</w:t>
            </w:r>
          </w:p>
        </w:tc>
      </w:tr>
      <w:tr>
        <w:tc>
          <w:tcPr>
            <w:tcW w:type="dxa" w:w="2436"/>
          </w:tcPr>
          <w:p>
            <w:r>
              <w:t>Modelo de lenguaje</w:t>
            </w:r>
          </w:p>
        </w:tc>
        <w:tc>
          <w:tcPr>
            <w:tcW w:type="dxa" w:w="2436"/>
          </w:tcPr>
          <w:p>
            <w:r>
              <w:t>Ollama + llama3.2:3b</w:t>
            </w:r>
          </w:p>
        </w:tc>
        <w:tc>
          <w:tcPr>
            <w:tcW w:type="dxa" w:w="2436"/>
          </w:tcPr>
          <w:p>
            <w:r>
              <w:t>fija, nunca latest</w:t>
            </w:r>
          </w:p>
        </w:tc>
        <w:tc>
          <w:tcPr>
            <w:tcW w:type="dxa" w:w="2436"/>
          </w:tcPr>
          <w:p>
            <w:r>
              <w:t>LOCAL: RN-03 prohíbe el egreso de datos clínicos</w:t>
            </w:r>
          </w:p>
        </w:tc>
      </w:tr>
      <w:tr>
        <w:tc>
          <w:tcPr>
            <w:tcW w:type="dxa" w:w="2436"/>
          </w:tcPr>
          <w:p>
            <w:r>
              <w:t>Embeddings</w:t>
            </w:r>
          </w:p>
        </w:tc>
        <w:tc>
          <w:tcPr>
            <w:tcW w:type="dxa" w:w="2436"/>
          </w:tcPr>
          <w:p>
            <w:r>
              <w:t>nomic-embed-text</w:t>
            </w:r>
          </w:p>
        </w:tc>
        <w:tc>
          <w:tcPr>
            <w:tcW w:type="dxa" w:w="2436"/>
          </w:tcPr>
          <w:p>
            <w:r>
              <w:t>768 dims</w:t>
            </w:r>
          </w:p>
        </w:tc>
        <w:tc>
          <w:tcPr>
            <w:tcW w:type="dxa" w:w="2436"/>
          </w:tcPr>
          <w:p>
            <w:r>
              <w:t>local, por la misma razón</w:t>
            </w:r>
          </w:p>
        </w:tc>
      </w:tr>
      <w:tr>
        <w:tc>
          <w:tcPr>
            <w:tcW w:type="dxa" w:w="2436"/>
          </w:tcPr>
          <w:p>
            <w:r>
              <w:t>Índice vectorial</w:t>
            </w:r>
          </w:p>
        </w:tc>
        <w:tc>
          <w:tcPr>
            <w:tcW w:type="dxa" w:w="2436"/>
          </w:tcPr>
          <w:p>
            <w:r>
              <w:t>NumPy</w:t>
            </w:r>
          </w:p>
        </w:tc>
        <w:tc>
          <w:tcPr>
            <w:tcW w:type="dxa" w:w="2436"/>
          </w:tcPr>
          <w:p>
            <w:r>
              <w:t>—</w:t>
            </w:r>
          </w:p>
        </w:tc>
        <w:tc>
          <w:tcPr>
            <w:tcW w:type="dxa" w:w="2436"/>
          </w:tcPr>
          <w:p>
            <w:r>
              <w:t>1.144 fragmentos: la fuerza bruta sobra</w:t>
            </w:r>
          </w:p>
        </w:tc>
      </w:tr>
      <w:tr>
        <w:tc>
          <w:tcPr>
            <w:tcW w:type="dxa" w:w="2436"/>
          </w:tcPr>
          <w:p>
            <w:r>
              <w:t>Grafo del agente</w:t>
            </w:r>
          </w:p>
        </w:tc>
        <w:tc>
          <w:tcPr>
            <w:tcW w:type="dxa" w:w="2436"/>
          </w:tcPr>
          <w:p>
            <w:r>
              <w:t>LangGraph</w:t>
            </w:r>
          </w:p>
        </w:tc>
        <w:tc>
          <w:tcPr>
            <w:tcW w:type="dxa" w:w="2436"/>
          </w:tcPr>
          <w:p>
            <w:r>
              <w:t>1.2.11</w:t>
            </w:r>
          </w:p>
        </w:tc>
        <w:tc>
          <w:tcPr>
            <w:tcW w:type="dxa" w:w="2436"/>
          </w:tcPr>
          <w:p>
            <w:r>
              <w:t>solo para la memoria conversacional (cap. 6)</w:t>
            </w:r>
          </w:p>
        </w:tc>
      </w:tr>
      <w:tr>
        <w:tc>
          <w:tcPr>
            <w:tcW w:type="dxa" w:w="2436"/>
          </w:tcPr>
          <w:p>
            <w:r>
              <w:t>Frontend</w:t>
            </w:r>
          </w:p>
        </w:tc>
        <w:tc>
          <w:tcPr>
            <w:tcW w:type="dxa" w:w="2436"/>
          </w:tcPr>
          <w:p>
            <w:r>
              <w:t>React + Vite + Konva.js</w:t>
            </w:r>
          </w:p>
        </w:tc>
        <w:tc>
          <w:tcPr>
            <w:tcW w:type="dxa" w:w="2436"/>
          </w:tcPr>
          <w:p>
            <w:r>
              <w:t>18 / 5</w:t>
            </w:r>
          </w:p>
        </w:tc>
        <w:tc>
          <w:tcPr>
            <w:tcW w:type="dxa" w:w="2436"/>
          </w:tcPr>
          <w:p>
            <w:r>
              <w:t>Konva para el lienzo interactivo del cariograma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b/>
          <w:color w:val="B5670F"/>
          <w:sz w:val="23"/>
        </w:rPr>
        <w:t>4.3 · Flujo de una petición, de principio a fin</w:t>
      </w:r>
    </w:p>
    <w:p>
      <w:pPr>
        <w:spacing w:after="120"/>
      </w:pPr>
      <w:r>
        <w:rPr>
          <w:rFonts w:ascii="Calibri" w:hAnsi="Calibri"/>
          <w:b w:val="0"/>
          <w:i w:val="0"/>
          <w:color w:val="2A2A33"/>
          <w:sz w:val="21"/>
        </w:rPr>
        <w:t>Numeren los pasos desde que el usuario escribe hasta que recibe la respuesta. Si en algún paso interviene el modelo, márquenlo.</w:t>
      </w:r>
    </w:p>
    <w:p>
      <w:pPr>
        <w:spacing w:before="160" w:after="40"/>
      </w:pPr>
      <w:r>
        <w:rPr>
          <w:b/>
          <w:color w:val="1F3455"/>
          <w:sz w:val="21"/>
        </w:rPr>
        <w:t>Los pasos</w:t>
      </w:r>
      <w:r>
        <w:rPr>
          <w:i/>
          <w:color w:val="6B7280"/>
          <w:sz w:val="18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1) El analista escribe «¿qué cromosomas están naranjas?» en /clinic/consultas.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2) El navegador hace POST /api/clinic/tools/query/ con el JWT emitido por backend-admin.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3) tool_router.py busca coincidencias con el vocabulario del catálogo.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4) Si coincide, se ejecuta la herramienta SIN llamar al modelo (camino KEYWORD).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5) Si no coincide, INTERVIENE EL MODELO: recibe las descripciones de las 6 herramientas y solo elige un nombre (camino LLM).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6) Si es una pregunta de documentación, va al corpus: se embebe, se recuperan candidatos y EL MODELO HACE DE JUEZ sobre si responden (camino RAG).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7) Si nada aplica, responde que no sabe y publica el catálogo (camino SIN_MATCH).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8) La herramienta consulta PostgreSQL: el dato nunca sale del modelo.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9) La respuesta vuelve con camino, tool y source visibles en pantalla.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320" w:after="100"/>
        <w:pBdr>
          <w:bottom w:val="single" w:sz="6" w:space="3" w:color="D9CBB0"/>
        </w:pBdr>
      </w:pPr>
      <w:r>
        <w:rPr>
          <w:rFonts w:ascii="Cambria" w:hAnsi="Cambria"/>
          <w:b/>
          <w:color w:val="1F3455"/>
          <w:sz w:val="28"/>
        </w:rPr>
        <w:t>5 · Herramientas y niveles de integración implementados</w:t>
      </w:r>
    </w:p>
    <w:p>
      <w:pPr>
        <w:spacing w:after="120"/>
      </w:pPr>
      <w:r>
        <w:rPr>
          <w:i/>
          <w:color w:val="6B7280"/>
          <w:sz w:val="18"/>
        </w:rPr>
      </w:r>
    </w:p>
    <w:p>
      <w:pPr>
        <w:spacing w:before="200" w:after="60"/>
      </w:pPr>
      <w:r>
        <w:rPr>
          <w:b/>
          <w:color w:val="B5670F"/>
          <w:sz w:val="23"/>
        </w:rPr>
        <w:t>5.1 · Modelo de lenguaje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28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Uso</w:t>
            </w:r>
          </w:p>
        </w:tc>
        <w:tc>
          <w:tcPr>
            <w:tcW w:type="dxa" w:w="1701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Proveedor</w:t>
            </w:r>
          </w:p>
        </w:tc>
        <w:tc>
          <w:tcPr>
            <w:tcW w:type="dxa" w:w="2041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Modelo</w:t>
            </w:r>
          </w:p>
        </w:tc>
        <w:tc>
          <w:tcPr>
            <w:tcW w:type="dxa" w:w="2494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Por qué ese</w:t>
            </w:r>
          </w:p>
        </w:tc>
        <w:tc>
          <w:tcPr>
            <w:tcW w:type="dxa" w:w="1247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Costo aprox.</w:t>
            </w:r>
          </w:p>
        </w:tc>
      </w:tr>
      <w:tr>
        <w:tc>
          <w:tcPr>
            <w:tcW w:type="dxa" w:w="1949"/>
          </w:tcPr>
          <w:p>
            <w:r>
              <w:t>Enrutado, RAG, agente y narrativa</w:t>
            </w:r>
          </w:p>
        </w:tc>
        <w:tc>
          <w:tcPr>
            <w:tcW w:type="dxa" w:w="1949"/>
          </w:tcPr>
          <w:p>
            <w:r>
              <w:t>Ollama LOCAL</w:t>
            </w:r>
          </w:p>
        </w:tc>
        <w:tc>
          <w:tcPr>
            <w:tcW w:type="dxa" w:w="1949"/>
          </w:tcPr>
          <w:p>
            <w:r>
              <w:t>llama3.2:3b</w:t>
            </w:r>
          </w:p>
        </w:tc>
        <w:tc>
          <w:tcPr>
            <w:tcW w:type="dxa" w:w="1949"/>
          </w:tcPr>
          <w:p>
            <w:r>
              <w:t>RN-03 prohíbe el egreso de datos clínicos</w:t>
            </w:r>
          </w:p>
        </w:tc>
        <w:tc>
          <w:tcPr>
            <w:tcW w:type="dxa" w:w="1949"/>
          </w:tcPr>
          <w:p>
            <w:r>
              <w:t>$0 — corre en la máquina del laboratorio</w:t>
            </w:r>
          </w:p>
        </w:tc>
      </w:tr>
      <w:tr>
        <w:tc>
          <w:tcPr>
            <w:tcW w:type="dxa" w:w="1949"/>
          </w:tcPr>
          <w:p>
            <w:r>
              <w:t>Embeddings del corpus</w:t>
            </w:r>
          </w:p>
        </w:tc>
        <w:tc>
          <w:tcPr>
            <w:tcW w:type="dxa" w:w="1949"/>
          </w:tcPr>
          <w:p>
            <w:r>
              <w:t>Ollama LOCAL</w:t>
            </w:r>
          </w:p>
        </w:tc>
        <w:tc>
          <w:tcPr>
            <w:tcW w:type="dxa" w:w="1949"/>
          </w:tcPr>
          <w:p>
            <w:r>
              <w:t>nomic-embed-text</w:t>
            </w:r>
          </w:p>
        </w:tc>
        <w:tc>
          <w:tcPr>
            <w:tcW w:type="dxa" w:w="1949"/>
          </w:tcPr>
          <w:p>
            <w:r>
              <w:t>misma razón; 768 dimensiones</w:t>
            </w:r>
          </w:p>
        </w:tc>
        <w:tc>
          <w:tcPr>
            <w:tcW w:type="dxa" w:w="1949"/>
          </w:tcPr>
          <w:p>
            <w:r>
              <w:t>$0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1F3455"/>
          <w:sz w:val="21"/>
        </w:rPr>
        <w:t>¿Tienen un modelo de respaldo (fallback) si el principal falla?</w:t>
      </w:r>
      <w:r>
        <w:rPr>
          <w:i/>
          <w:color w:val="6B7280"/>
          <w:sz w:val="18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No hay modelo de respaldo, y es una decisión, no un descuido: un respaldo en la nube violaría RN-03, que prohíbe el egreso de datos clínicos.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Lo que pasa hoy si Ollama cae: el sistema NO deja de responder. El camino por vocabulario resuelve las preguntas del dominio sin modelo, y el RAG se degrada a «no puedo fundamentar» en vez de volcar el fragmento más parecido. Es la degradación elegante que exige RN-07.</w:t>
            </w:r>
          </w:p>
        </w:tc>
      </w:tr>
    </w:tbl>
    <w:p>
      <w:pPr>
        <w:spacing w:after="0"/>
      </w:pPr>
    </w:p>
    <w:p>
      <w:pPr>
        <w:spacing w:before="160" w:after="40"/>
      </w:pPr>
      <w:r>
        <w:rPr>
          <w:b/>
          <w:color w:val="1F3455"/>
          <w:sz w:val="21"/>
        </w:rPr>
        <w:t>Parámetros relevantes</w:t>
      </w:r>
      <w:r>
        <w:rPr>
          <w:i/>
          <w:color w:val="6B7280"/>
          <w:sz w:val="18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temperature = 0.0. Elegir herramienta es una decisión técnica: la misma pregunta debe dar la misma respuesta, o el sistema deja de ser auditable.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MAX_PASOS = 6. Tope del bucle del agente. Sin tope, un agente confundido quema tokens en círculos.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timeout = 240 s. Un modelo de 3B en CPU tarda entre 27 y 200 s por respuesta del RAG.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Candidatos al juez: 3 fragmentos de 900 caracteres. Medido: con 5 de 2.000 el modelo se ahogaba y se abstenía en 11 de 12 preguntas que SÍ estaban cubiertas.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b/>
          <w:color w:val="B5670F"/>
          <w:sz w:val="23"/>
        </w:rPr>
        <w:t>5.2 · Publicación del código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494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Qué</w:t>
            </w:r>
          </w:p>
        </w:tc>
        <w:tc>
          <w:tcPr>
            <w:tcW w:type="dxa" w:w="3969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Dónde</w:t>
            </w:r>
          </w:p>
        </w:tc>
        <w:tc>
          <w:tcPr>
            <w:tcW w:type="dxa" w:w="2948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Notas</w:t>
            </w:r>
          </w:p>
        </w:tc>
      </w:tr>
      <w:tr>
        <w:tc>
          <w:tcPr>
            <w:tcW w:type="dxa" w:w="3249"/>
          </w:tcPr>
          <w:p>
            <w:r>
              <w:t>Repositorio principal</w:t>
            </w:r>
          </w:p>
        </w:tc>
        <w:tc>
          <w:tcPr>
            <w:tcW w:type="dxa" w:w="3249"/>
          </w:tcPr>
          <w:p>
            <w:r>
              <w:t>github.com/guillemc92/karyoumss</w:t>
            </w:r>
          </w:p>
        </w:tc>
        <w:tc>
          <w:tcPr>
            <w:tcW w:type="dxa" w:w="3249"/>
          </w:tcPr>
          <w:p>
            <w:r>
              <w:t>público — rama feature/clinic-django-stack</w:t>
            </w:r>
          </w:p>
        </w:tc>
      </w:tr>
      <w:tr>
        <w:tc>
          <w:tcPr>
            <w:tcW w:type="dxa" w:w="3249"/>
          </w:tcPr>
          <w:p>
            <w:r>
              <w:t>Decisiones de arquitectura</w:t>
            </w:r>
          </w:p>
        </w:tc>
        <w:tc>
          <w:tcPr>
            <w:tcW w:type="dxa" w:w="3249"/>
          </w:tcPr>
          <w:p>
            <w:r>
              <w:t>docs/adr/</w:t>
            </w:r>
          </w:p>
        </w:tc>
        <w:tc>
          <w:tcPr>
            <w:tcW w:type="dxa" w:w="3249"/>
          </w:tcPr>
          <w:p>
            <w:r>
              <w:t>32 ADR firmados</w:t>
            </w:r>
          </w:p>
        </w:tc>
      </w:tr>
      <w:tr>
        <w:tc>
          <w:tcPr>
            <w:tcW w:type="dxa" w:w="3249"/>
          </w:tcPr>
          <w:p>
            <w:r>
              <w:t>Índice del RAG</w:t>
            </w:r>
          </w:p>
        </w:tc>
        <w:tc>
          <w:tcPr>
            <w:tcW w:type="dxa" w:w="3249"/>
          </w:tcPr>
          <w:p>
            <w:r>
              <w:t>backend-clinic/apps/samples/rag_data/</w:t>
            </w:r>
          </w:p>
        </w:tc>
        <w:tc>
          <w:tcPr>
            <w:tcW w:type="dxa" w:w="3249"/>
          </w:tcPr>
          <w:p>
            <w:r>
              <w:t>versionado junto al código</w:t>
            </w:r>
          </w:p>
        </w:tc>
      </w:tr>
      <w:tr>
        <w:tc>
          <w:tcPr>
            <w:tcW w:type="dxa" w:w="3249"/>
          </w:tcPr>
          <w:p>
            <w:r>
              <w:t>Claves de API</w:t>
            </w:r>
          </w:p>
        </w:tc>
        <w:tc>
          <w:tcPr>
            <w:tcW w:type="dxa" w:w="3249"/>
          </w:tcPr>
          <w:p>
            <w:r>
              <w:t>—</w:t>
            </w:r>
          </w:p>
        </w:tc>
        <w:tc>
          <w:tcPr>
            <w:tcW w:type="dxa" w:w="3249"/>
          </w:tcPr>
          <w:p>
            <w:r>
              <w:t>no existen: el modelo es local. Los .env están en .gitignore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160" w:after="40"/>
      </w:pPr>
      <w:r>
        <w:rPr>
          <w:b/>
          <w:color w:val="1F3455"/>
          <w:sz w:val="21"/>
        </w:rPr>
        <w:t>¿Cómo se levanta el proyecto?</w:t>
      </w:r>
      <w:r>
        <w:rPr>
          <w:i/>
          <w:color w:val="6B7280"/>
          <w:sz w:val="18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cd backend-ml      &amp;&amp; python -m uvicorn app.main:app --port 8000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cd backend-admin   &amp;&amp; .venv/Scripts/python manage.py runserver 127.0.0.1:8001 --noreload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cd backend-clinic  &amp;&amp; CLINIC_LLM_ENABLED=true .venv/Scripts/python manage.py runserver 127.0.0.1:8002 --noreload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cd frontend-admin  &amp;&amp; npm run dev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cd frontend-clinic &amp;&amp; MSYS_NO_PATHCONV=1 VITE_BASE_PATH=/clinic/ npm run dev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caddy run --config Caddyfile.dev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Entrar por http://localhost:3000 (las dos SPA deben compartir origen para compartir la sesión).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b/>
          <w:color w:val="B5670F"/>
          <w:sz w:val="23"/>
        </w:rPr>
        <w:t>5.3 · Tooling (Nivel 2 — tool calling)</w:t>
      </w:r>
    </w:p>
    <w:p>
      <w:pPr>
        <w:spacing w:after="120"/>
      </w:pPr>
      <w:r>
        <w:rPr>
          <w:rFonts w:ascii="Calibri" w:hAnsi="Calibri"/>
          <w:b w:val="0"/>
          <w:i w:val="0"/>
          <w:color w:val="2A2A33"/>
          <w:sz w:val="21"/>
        </w:rPr>
        <w:t>Una «herramienta» es una función de su sistema que el modelo puede pedir que se ejecute. Listen todas las que tienen.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2154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Nombre de la tool</w:t>
            </w:r>
          </w:p>
        </w:tc>
        <w:tc>
          <w:tcPr>
            <w:tcW w:type="dxa" w:w="2608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Qué hace</w:t>
            </w:r>
          </w:p>
        </w:tc>
        <w:tc>
          <w:tcPr>
            <w:tcW w:type="dxa" w:w="1361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Lectura / Escritura</w:t>
            </w:r>
          </w:p>
        </w:tc>
        <w:tc>
          <w:tcPr>
            <w:tcW w:type="dxa" w:w="1814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Parámetros</w:t>
            </w:r>
          </w:p>
        </w:tc>
        <w:tc>
          <w:tcPr>
            <w:tcW w:type="dxa" w:w="1474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¿Requiere confirmación?</w:t>
            </w:r>
          </w:p>
        </w:tc>
      </w:tr>
      <w:tr>
        <w:tc>
          <w:tcPr>
            <w:tcW w:type="dxa" w:w="1949"/>
          </w:tcPr>
          <w:p>
            <w:r>
              <w:t>cromosomas_para_revision</w:t>
            </w:r>
          </w:p>
        </w:tc>
        <w:tc>
          <w:tcPr>
            <w:tcW w:type="dxa" w:w="1949"/>
          </w:tcPr>
          <w:p>
            <w:r>
              <w:t>lista los cromosomas naranjas pendientes</w:t>
            </w:r>
          </w:p>
        </w:tc>
        <w:tc>
          <w:tcPr>
            <w:tcW w:type="dxa" w:w="1949"/>
          </w:tcPr>
          <w:p>
            <w:r>
              <w:t>lectura</w:t>
            </w:r>
          </w:p>
        </w:tc>
        <w:tc>
          <w:tcPr>
            <w:tcW w:type="dxa" w:w="1949"/>
          </w:tcPr>
          <w:p>
            <w:r>
              <w:t>—</w:t>
            </w:r>
          </w:p>
        </w:tc>
        <w:tc>
          <w:tcPr>
            <w:tcW w:type="dxa" w:w="1949"/>
          </w:tcPr>
          <w:p>
            <w:r>
              <w:t>no</w:t>
            </w:r>
          </w:p>
        </w:tc>
      </w:tr>
      <w:tr>
        <w:tc>
          <w:tcPr>
            <w:tcW w:type="dxa" w:w="1949"/>
          </w:tcPr>
          <w:p>
            <w:r>
              <w:t>casos_pendientes_firma</w:t>
            </w:r>
          </w:p>
        </w:tc>
        <w:tc>
          <w:tcPr>
            <w:tcW w:type="dxa" w:w="1949"/>
          </w:tcPr>
          <w:p>
            <w:r>
              <w:t>casos validados que esperan al supervisor</w:t>
            </w:r>
          </w:p>
        </w:tc>
        <w:tc>
          <w:tcPr>
            <w:tcW w:type="dxa" w:w="1949"/>
          </w:tcPr>
          <w:p>
            <w:r>
              <w:t>lectura</w:t>
            </w:r>
          </w:p>
        </w:tc>
        <w:tc>
          <w:tcPr>
            <w:tcW w:type="dxa" w:w="1949"/>
          </w:tcPr>
          <w:p>
            <w:r>
              <w:t>—</w:t>
            </w:r>
          </w:p>
        </w:tc>
        <w:tc>
          <w:tcPr>
            <w:tcW w:type="dxa" w:w="1949"/>
          </w:tcPr>
          <w:p>
            <w:r>
              <w:t>no</w:t>
            </w:r>
          </w:p>
        </w:tc>
      </w:tr>
      <w:tr>
        <w:tc>
          <w:tcPr>
            <w:tcW w:type="dxa" w:w="1949"/>
          </w:tcPr>
          <w:p>
            <w:r>
              <w:t>casos_reportados</w:t>
            </w:r>
          </w:p>
        </w:tc>
        <w:tc>
          <w:tcPr>
            <w:tcW w:type="dxa" w:w="1949"/>
          </w:tcPr>
          <w:p>
            <w:r>
              <w:t>casos ya cerrados y firmados</w:t>
            </w:r>
          </w:p>
        </w:tc>
        <w:tc>
          <w:tcPr>
            <w:tcW w:type="dxa" w:w="1949"/>
          </w:tcPr>
          <w:p>
            <w:r>
              <w:t>lectura</w:t>
            </w:r>
          </w:p>
        </w:tc>
        <w:tc>
          <w:tcPr>
            <w:tcW w:type="dxa" w:w="1949"/>
          </w:tcPr>
          <w:p>
            <w:r>
              <w:t>—</w:t>
            </w:r>
          </w:p>
        </w:tc>
        <w:tc>
          <w:tcPr>
            <w:tcW w:type="dxa" w:w="1949"/>
          </w:tcPr>
          <w:p>
            <w:r>
              <w:t>no</w:t>
            </w:r>
          </w:p>
        </w:tc>
      </w:tr>
      <w:tr>
        <w:tc>
          <w:tcPr>
            <w:tcW w:type="dxa" w:w="1949"/>
          </w:tcPr>
          <w:p>
            <w:r>
              <w:t>casos_en_proceso</w:t>
            </w:r>
          </w:p>
        </w:tc>
        <w:tc>
          <w:tcPr>
            <w:tcW w:type="dxa" w:w="1949"/>
          </w:tcPr>
          <w:p>
            <w:r>
              <w:t>muestras que el sistema está analizando</w:t>
            </w:r>
          </w:p>
        </w:tc>
        <w:tc>
          <w:tcPr>
            <w:tcW w:type="dxa" w:w="1949"/>
          </w:tcPr>
          <w:p>
            <w:r>
              <w:t>lectura</w:t>
            </w:r>
          </w:p>
        </w:tc>
        <w:tc>
          <w:tcPr>
            <w:tcW w:type="dxa" w:w="1949"/>
          </w:tcPr>
          <w:p>
            <w:r>
              <w:t>—</w:t>
            </w:r>
          </w:p>
        </w:tc>
        <w:tc>
          <w:tcPr>
            <w:tcW w:type="dxa" w:w="1949"/>
          </w:tcPr>
          <w:p>
            <w:r>
              <w:t>no</w:t>
            </w:r>
          </w:p>
        </w:tc>
      </w:tr>
      <w:tr>
        <w:tc>
          <w:tcPr>
            <w:tcW w:type="dxa" w:w="1949"/>
          </w:tcPr>
          <w:p>
            <w:r>
              <w:t>buscar_documentacion</w:t>
            </w:r>
          </w:p>
        </w:tc>
        <w:tc>
          <w:tcPr>
            <w:tcW w:type="dxa" w:w="1949"/>
          </w:tcPr>
          <w:p>
            <w:r>
              <w:t>consulta el corpus documental (RAG)</w:t>
            </w:r>
          </w:p>
        </w:tc>
        <w:tc>
          <w:tcPr>
            <w:tcW w:type="dxa" w:w="1949"/>
          </w:tcPr>
          <w:p>
            <w:r>
              <w:t>lectura</w:t>
            </w:r>
          </w:p>
        </w:tc>
        <w:tc>
          <w:tcPr>
            <w:tcW w:type="dxa" w:w="1949"/>
          </w:tcPr>
          <w:p>
            <w:r>
              <w:t>pregunta: str</w:t>
            </w:r>
          </w:p>
        </w:tc>
        <w:tc>
          <w:tcPr>
            <w:tcW w:type="dxa" w:w="1949"/>
          </w:tcPr>
          <w:p>
            <w:r>
              <w:t>no</w:t>
            </w:r>
          </w:p>
        </w:tc>
      </w:tr>
      <w:tr>
        <w:tc>
          <w:tcPr>
            <w:tcW w:type="dxa" w:w="1949"/>
          </w:tcPr>
          <w:p>
            <w:r>
              <w:t>preparar_validacion_de_caso</w:t>
            </w:r>
          </w:p>
        </w:tc>
        <w:tc>
          <w:tcPr>
            <w:tcW w:type="dxa" w:w="1949"/>
          </w:tcPr>
          <w:p>
            <w:r>
              <w:t>prepara la validación de un caso</w:t>
            </w:r>
          </w:p>
        </w:tc>
        <w:tc>
          <w:tcPr>
            <w:tcW w:type="dxa" w:w="1949"/>
          </w:tcPr>
          <w:p>
            <w:r>
              <w:t>ESCRITURA</w:t>
            </w:r>
          </w:p>
        </w:tc>
        <w:tc>
          <w:tcPr>
            <w:tcW w:type="dxa" w:w="1949"/>
          </w:tcPr>
          <w:p>
            <w:r>
              <w:t>chn_code: str, confirmado: bool</w:t>
            </w:r>
          </w:p>
        </w:tc>
        <w:tc>
          <w:tcPr>
            <w:tcW w:type="dxa" w:w="1949"/>
          </w:tcPr>
          <w:p>
            <w:r>
              <w:t>NUNCA EJECUTA, ni con confirmado=true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160" w:after="40"/>
      </w:pPr>
      <w:r>
        <w:rPr>
          <w:b/>
          <w:color w:val="1F3455"/>
          <w:sz w:val="21"/>
        </w:rPr>
        <w:t>Cómo describen las herramientas al modelo</w:t>
      </w:r>
      <w:r>
        <w:rPr>
          <w:i/>
          <w:color w:val="6B7280"/>
          <w:sz w:val="18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La descripción real de la herramienta de escritura, la que viaja por MCP: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«Prepara la validación de un caso: informa de qué bloquea la validación y qué ocurriría al validarlo. ESCRITURA: llamar siempre con confirmado=false para obtener el plan. La ejecución real la hace una persona identificada desde la aplicación — un agente no puede validar un cariotipo.»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La descripción es lo único que el modelo lee para decidir, así que el guardrail se enuncia ahí y viaja con la herramienta a cualquier cliente que la descubra.</w:t>
            </w:r>
          </w:p>
        </w:tc>
      </w:tr>
    </w:tbl>
    <w:p>
      <w:pPr>
        <w:spacing w:after="0"/>
      </w:pPr>
    </w:p>
    <w:p>
      <w:pPr>
        <w:spacing w:before="160" w:after="40"/>
      </w:pPr>
      <w:r>
        <w:rPr>
          <w:b/>
          <w:color w:val="1F3455"/>
          <w:sz w:val="21"/>
        </w:rPr>
        <w:t>¿Cómo saben que el modelo eligió bien la herramienta?</w:t>
      </w:r>
      <w:r>
        <w:rPr>
          <w:i/>
          <w:color w:val="6B7280"/>
          <w:sz w:val="18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Se mide, con un banco de 56 preguntas etiquetadas escritas como las diría un analista, no como las escribiría quien ya conoce el catálogo. Comando: python manage.py eval_enrutado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Resultado: 44/56 (79%) con el banco intacto; 47/56 (84%) con el banco al día, porque 3 preguntas que antes debían caer en «no sé» ahora las resuelve legítimamente el RAG.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Qué pasó cuando eligió mal: el primer banco tenía 30 preguntas y dio 97%. Al ampliarlo con preguntas fuera de alcance escritas CON EL VOCABULARIO DEL DOMINIO —«¿quién tiene permiso para firmar?»— cayó a 80%. El 97% era un espejismo: las preguntas fáciles no compartían ni una palabra con el catálogo, y abstenerse ante ellas es trivial.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b/>
          <w:color w:val="B5670F"/>
          <w:sz w:val="23"/>
        </w:rPr>
        <w:t>5.4 · RAG (Nivel 3 — recuperación aumentada)</w:t>
      </w:r>
    </w:p>
    <w:p>
      <w:pPr>
        <w:spacing w:before="160" w:after="40"/>
      </w:pPr>
      <w:r>
        <w:rPr>
          <w:b/>
          <w:color w:val="1F3455"/>
          <w:sz w:val="21"/>
        </w:rPr>
        <w:t>¿Qué conocimiento indexaron y por qué ese?</w:t>
      </w:r>
      <w:r>
        <w:rPr>
          <w:i/>
          <w:color w:val="6B7280"/>
          <w:sz w:val="18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La documentación que el laboratorio usa para decidir, no texto genérico. En total 1.144 fragmentos: el estándar ISCN 2024 (711), los ADR del proyecto (337), el FSD (37), el BRD (33) y la guía interna de agentes (26).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Se eligió ese corpus porque las preguntas que el sistema debe responder —«¿qué significa que un cromosoma esté naranja?», «¿quién puede firmar un caso?»— se contestan con las reglas del laboratorio y con el estándar internacional, no con conocimiento general.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608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3288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Su decisión</w:t>
            </w:r>
          </w:p>
        </w:tc>
        <w:tc>
          <w:tcPr>
            <w:tcW w:type="dxa" w:w="3515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Por qué</w:t>
            </w:r>
          </w:p>
        </w:tc>
      </w:tr>
      <w:tr>
        <w:tc>
          <w:tcPr>
            <w:tcW w:type="dxa" w:w="3249"/>
          </w:tcPr>
          <w:p>
            <w:r>
              <w:t>Origen de los documentos</w:t>
            </w:r>
          </w:p>
        </w:tc>
        <w:tc>
          <w:tcPr>
            <w:tcW w:type="dxa" w:w="3249"/>
          </w:tcPr>
          <w:p>
            <w:r>
              <w:t>ISCN 2024, ADR del proyecto, FSD, BRD y guía interna</w:t>
            </w:r>
          </w:p>
        </w:tc>
        <w:tc>
          <w:tcPr>
            <w:tcW w:type="dxa" w:w="3249"/>
          </w:tcPr>
          <w:p>
            <w:r>
              <w:t>es lo que el laboratorio consulta de verdad para decidir</w:t>
            </w:r>
          </w:p>
        </w:tc>
      </w:tr>
      <w:tr>
        <w:tc>
          <w:tcPr>
            <w:tcW w:type="dxa" w:w="3249"/>
          </w:tcPr>
          <w:p>
            <w:r>
              <w:t>Cantidad indexada</w:t>
            </w:r>
          </w:p>
        </w:tc>
        <w:tc>
          <w:tcPr>
            <w:tcW w:type="dxa" w:w="3249"/>
          </w:tcPr>
          <w:p>
            <w:r>
              <w:t>1.144 fragmentos</w:t>
            </w:r>
          </w:p>
        </w:tc>
        <w:tc>
          <w:tcPr>
            <w:tcW w:type="dxa" w:w="3249"/>
          </w:tcPr>
          <w:p>
            <w:r>
              <w:t>ISCN 711, ADR 337, FSD 37, BRD 33, guía 26</w:t>
            </w:r>
          </w:p>
        </w:tc>
      </w:tr>
      <w:tr>
        <w:tc>
          <w:tcPr>
            <w:tcW w:type="dxa" w:w="3249"/>
          </w:tcPr>
          <w:p>
            <w:r>
              <w:t>Estrategia de chunking</w:t>
            </w:r>
          </w:p>
        </w:tc>
        <w:tc>
          <w:tcPr>
            <w:tcW w:type="dxa" w:w="3249"/>
          </w:tcPr>
          <w:p>
            <w:r>
              <w:t>por secciones, con solape</w:t>
            </w:r>
          </w:p>
        </w:tc>
        <w:tc>
          <w:tcPr>
            <w:tcW w:type="dxa" w:w="3249"/>
          </w:tcPr>
          <w:p>
            <w:r>
              <w:t>un artículo del ISCN no se parte a la mitad</w:t>
            </w:r>
          </w:p>
        </w:tc>
      </w:tr>
      <w:tr>
        <w:tc>
          <w:tcPr>
            <w:tcW w:type="dxa" w:w="3249"/>
          </w:tcPr>
          <w:p>
            <w:r>
              <w:t>Modelo de embeddings</w:t>
            </w:r>
          </w:p>
        </w:tc>
        <w:tc>
          <w:tcPr>
            <w:tcW w:type="dxa" w:w="3249"/>
          </w:tcPr>
          <w:p>
            <w:r>
              <w:t>nomic-embed-text, 768 dims</w:t>
            </w:r>
          </w:p>
        </w:tc>
        <w:tc>
          <w:tcPr>
            <w:tcW w:type="dxa" w:w="3249"/>
          </w:tcPr>
          <w:p>
            <w:r>
              <w:t>local — RN-03</w:t>
            </w:r>
          </w:p>
        </w:tc>
      </w:tr>
      <w:tr>
        <w:tc>
          <w:tcPr>
            <w:tcW w:type="dxa" w:w="3249"/>
          </w:tcPr>
          <w:p>
            <w:r>
              <w:t>Vector store</w:t>
            </w:r>
          </w:p>
        </w:tc>
        <w:tc>
          <w:tcPr>
            <w:tcW w:type="dxa" w:w="3249"/>
          </w:tcPr>
          <w:p>
            <w:r>
              <w:t>NumPy por fuerza bruta</w:t>
            </w:r>
          </w:p>
        </w:tc>
        <w:tc>
          <w:tcPr>
            <w:tcW w:type="dxa" w:w="3249"/>
          </w:tcPr>
          <w:p>
            <w:r>
              <w:t>1.144×768 se resuelve en microsegundos; Chroma añade una base binaria que no se versiona bien en git</w:t>
            </w:r>
          </w:p>
        </w:tc>
      </w:tr>
      <w:tr>
        <w:tc>
          <w:tcPr>
            <w:tcW w:type="dxa" w:w="3249"/>
          </w:tcPr>
          <w:p>
            <w:r>
              <w:t>top-k</w:t>
            </w:r>
          </w:p>
        </w:tc>
        <w:tc>
          <w:tcPr>
            <w:tcW w:type="dxa" w:w="3249"/>
          </w:tcPr>
          <w:p>
            <w:r>
              <w:t>3 al juez, 8 recuperados</w:t>
            </w:r>
          </w:p>
        </w:tc>
        <w:tc>
          <w:tcPr>
            <w:tcW w:type="dxa" w:w="3249"/>
          </w:tcPr>
          <w:p>
            <w:r>
              <w:t>medido: con 5 fragmentos largos el modelo se ahogaba</w:t>
            </w:r>
          </w:p>
        </w:tc>
      </w:tr>
      <w:tr>
        <w:tc>
          <w:tcPr>
            <w:tcW w:type="dxa" w:w="3249"/>
          </w:tcPr>
          <w:p>
            <w:r>
              <w:t>Umbral de similitud</w:t>
            </w:r>
          </w:p>
        </w:tc>
        <w:tc>
          <w:tcPr>
            <w:tcW w:type="dxa" w:w="3249"/>
          </w:tcPr>
          <w:p>
            <w:r>
              <w:t>0,50 de RECUPERACIÓN, no de decisión</w:t>
            </w:r>
          </w:p>
        </w:tc>
        <w:tc>
          <w:tcPr>
            <w:tcW w:type="dxa" w:w="3249"/>
          </w:tcPr>
          <w:p>
            <w:r>
              <w:t>medido: similitud, margen y dispersión se solapan entre preguntas cubiertas y no cubiertas. Ningún corte separa; decide el juez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/>
          <w:b w:val="0"/>
          <w:i w:val="0"/>
          <w:color w:val="2A2A33"/>
          <w:sz w:val="21"/>
        </w:rPr>
        <w:t>Aspectos que hay que cubrir en esa tabla: origen de los documentos, cantidad indexada, estrategia de chunking, modelo de embeddings, vector store, valor de top-k, y umbral de similitud si usan uno.</w:t>
      </w:r>
    </w:p>
    <w:p>
      <w:pPr>
        <w:spacing w:before="160" w:after="40"/>
      </w:pPr>
      <w:r>
        <w:rPr>
          <w:b/>
          <w:color w:val="1F3455"/>
          <w:sz w:val="21"/>
        </w:rPr>
        <w:t>¿Cómo citan la fuente en la respuesta?</w:t>
      </w:r>
      <w:r>
        <w:rPr>
          <w:i/>
          <w:color w:val="6B7280"/>
          <w:sz w:val="18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Salida real del sistema: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«También hay material relacionado en: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 xml:space="preserve">  - FSD: FSD_vFinal.md — 5. Reglas de negocio (61.6%)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 xml:space="preserve">  - ADR: 0020-sso-backend-admin-autoridad-jwt.md — Contexto (60.0%)»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Cada afirmación va con el documento, la sección y el porcentaje de similitud. Una respuesta clínica sin fuente no es verificable.</w:t>
            </w:r>
          </w:p>
        </w:tc>
      </w:tr>
    </w:tbl>
    <w:p>
      <w:pPr>
        <w:spacing w:after="0"/>
      </w:pPr>
    </w:p>
    <w:p>
      <w:pPr>
        <w:spacing w:before="160" w:after="40"/>
      </w:pPr>
      <w:r>
        <w:rPr>
          <w:b/>
          <w:color w:val="1F3455"/>
          <w:sz w:val="21"/>
        </w:rPr>
        <w:t>¿Qué hace el sistema cuando NO encuentra la respuesta en los documentos?</w:t>
      </w:r>
      <w:r>
        <w:rPr>
          <w:i/>
          <w:color w:val="6B7280"/>
          <w:sz w:val="18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Dice que no sabe, y ofrece dónde mirar. Salida real: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«PREGUNTA: ¿Cuál es el teléfono del doctor Rojas?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responde=False   MOTIVO: el corpus no cubre la pregunta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El corpus no cubre esa pregunta. Lo más parecido que contiene es: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 xml:space="preserve">  - ADR: 0011-rol-administrador.md — Contexto (62.9%)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 xml:space="preserve">  - BRD: BRD_vFinal.md — 14. Restricciones y supuestos (57.7%)»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Ninguna sugerencia afirma pertinencia: solo dice «esto es lo más parecido que hay». Se midió que el puntaje NO predice si un fragmento responde —similitud, margen y dispersión se solapan entre preguntas cubiertas y no cubiertas—, así que quien decide es el modelo haciendo de juez, no el número.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Medición de la cadena completa: 16/18 (89%), con 6/6 en abstención. Comando: python manage.py eval_rag --con-juez</w:t>
            </w:r>
          </w:p>
        </w:tc>
      </w:tr>
    </w:tbl>
    <w:p>
      <w:pPr>
        <w:spacing w:after="0"/>
      </w:pPr>
    </w:p>
    <w:p>
      <w:pPr>
        <w:spacing w:after="40"/>
      </w:pPr>
    </w:p>
    <w:p>
      <w:pPr>
        <w:spacing w:before="200" w:after="60"/>
      </w:pPr>
      <w:r>
        <w:rPr>
          <w:b/>
          <w:color w:val="B5670F"/>
          <w:sz w:val="23"/>
        </w:rPr>
        <w:t>5.5 · Agente + MCP (Nivel 4)</w:t>
      </w:r>
    </w:p>
    <w:p>
      <w:pPr>
        <w:spacing w:before="160" w:after="40"/>
      </w:pPr>
      <w:r>
        <w:rPr>
          <w:b/>
          <w:color w:val="1F3455"/>
          <w:sz w:val="21"/>
        </w:rPr>
        <w:t>¿Qué hace su agente que el tool calling simple no podía?</w:t>
      </w:r>
      <w:r>
        <w:rPr>
          <w:i/>
          <w:color w:val="6B7280"/>
          <w:sz w:val="18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Encadenar. La pregunta «¿hay cromosomas pendientes de revisar, y por qué hay que revisarlos?» tiene dos mitades: una es estado (herramienta contra la base), la otra es una regla (el corpus). El orden no está programado en ninguna parte: lo decide el modelo.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Con tool calling simple habría que elegir una de las dos y responder a medias. De hecho eso fue lo que pasó en la primera versión: hacía UNA consulta y se inventaba la segunda mitad —dio un umbral del 90% cuando el real es 85%— atribuyéndolo a «la herramienta de consulta». Inventar es grave; atribuirlo a una fuente que no lo dijo, más. Solo se ve mirando la traza.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rFonts w:ascii="Calibri" w:hAnsi="Calibri"/>
          <w:b/>
          <w:i w:val="0"/>
          <w:color w:val="2A2A33"/>
          <w:sz w:val="21"/>
        </w:rPr>
        <w:t xml:space="preserve">La tool list del agente. </w:t>
      </w:r>
      <w:r>
        <w:rPr>
          <w:rFonts w:ascii="Calibri" w:hAnsi="Calibri"/>
          <w:b w:val="0"/>
          <w:i w:val="0"/>
          <w:color w:val="2A2A33"/>
          <w:sz w:val="21"/>
        </w:rPr>
        <w:t>Listen TODAS las herramientas que el agente puede ver y usar. Si están publicadas en un servidor MCP, indíquenlo.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2154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Herramienta</w:t>
            </w:r>
          </w:p>
        </w:tc>
        <w:tc>
          <w:tcPr>
            <w:tcW w:type="dxa" w:w="1701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Origen</w:t>
            </w:r>
          </w:p>
        </w:tc>
        <w:tc>
          <w:tcPr>
            <w:tcW w:type="dxa" w:w="2608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Qué hace</w:t>
            </w:r>
          </w:p>
        </w:tc>
        <w:tc>
          <w:tcPr>
            <w:tcW w:type="dxa" w:w="1474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Lee o escribe</w:t>
            </w:r>
          </w:p>
        </w:tc>
        <w:tc>
          <w:tcPr>
            <w:tcW w:type="dxa" w:w="1474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¿Vía MCP?</w:t>
            </w:r>
          </w:p>
        </w:tc>
      </w:tr>
      <w:tr>
        <w:tc>
          <w:tcPr>
            <w:tcW w:type="dxa" w:w="1949"/>
          </w:tcPr>
          <w:p>
            <w:r>
              <w:t>cromosomas_para_revision</w:t>
            </w:r>
          </w:p>
        </w:tc>
        <w:tc>
          <w:tcPr>
            <w:tcW w:type="dxa" w:w="1949"/>
          </w:tcPr>
          <w:p>
            <w:r>
              <w:t>base clínica</w:t>
            </w:r>
          </w:p>
        </w:tc>
        <w:tc>
          <w:tcPr>
            <w:tcW w:type="dxa" w:w="1949"/>
          </w:tcPr>
          <w:p>
            <w:r>
              <w:t>naranjas pendientes de revisar</w:t>
            </w:r>
          </w:p>
        </w:tc>
        <w:tc>
          <w:tcPr>
            <w:tcW w:type="dxa" w:w="1949"/>
          </w:tcPr>
          <w:p>
            <w:r>
              <w:t>lee</w:t>
            </w:r>
          </w:p>
        </w:tc>
        <w:tc>
          <w:tcPr>
            <w:tcW w:type="dxa" w:w="1949"/>
          </w:tcPr>
          <w:p>
            <w:r>
              <w:t>sí</w:t>
            </w:r>
          </w:p>
        </w:tc>
      </w:tr>
      <w:tr>
        <w:tc>
          <w:tcPr>
            <w:tcW w:type="dxa" w:w="1949"/>
          </w:tcPr>
          <w:p>
            <w:r>
              <w:t>casos_pendientes_firma</w:t>
            </w:r>
          </w:p>
        </w:tc>
        <w:tc>
          <w:tcPr>
            <w:tcW w:type="dxa" w:w="1949"/>
          </w:tcPr>
          <w:p>
            <w:r>
              <w:t>base clínica</w:t>
            </w:r>
          </w:p>
        </w:tc>
        <w:tc>
          <w:tcPr>
            <w:tcW w:type="dxa" w:w="1949"/>
          </w:tcPr>
          <w:p>
            <w:r>
              <w:t>validados sin firmar</w:t>
            </w:r>
          </w:p>
        </w:tc>
        <w:tc>
          <w:tcPr>
            <w:tcW w:type="dxa" w:w="1949"/>
          </w:tcPr>
          <w:p>
            <w:r>
              <w:t>lee</w:t>
            </w:r>
          </w:p>
        </w:tc>
        <w:tc>
          <w:tcPr>
            <w:tcW w:type="dxa" w:w="1949"/>
          </w:tcPr>
          <w:p>
            <w:r>
              <w:t>sí</w:t>
            </w:r>
          </w:p>
        </w:tc>
      </w:tr>
      <w:tr>
        <w:tc>
          <w:tcPr>
            <w:tcW w:type="dxa" w:w="1949"/>
          </w:tcPr>
          <w:p>
            <w:r>
              <w:t>casos_reportados</w:t>
            </w:r>
          </w:p>
        </w:tc>
        <w:tc>
          <w:tcPr>
            <w:tcW w:type="dxa" w:w="1949"/>
          </w:tcPr>
          <w:p>
            <w:r>
              <w:t>base clínica</w:t>
            </w:r>
          </w:p>
        </w:tc>
        <w:tc>
          <w:tcPr>
            <w:tcW w:type="dxa" w:w="1949"/>
          </w:tcPr>
          <w:p>
            <w:r>
              <w:t>casos cerrados</w:t>
            </w:r>
          </w:p>
        </w:tc>
        <w:tc>
          <w:tcPr>
            <w:tcW w:type="dxa" w:w="1949"/>
          </w:tcPr>
          <w:p>
            <w:r>
              <w:t>lee</w:t>
            </w:r>
          </w:p>
        </w:tc>
        <w:tc>
          <w:tcPr>
            <w:tcW w:type="dxa" w:w="1949"/>
          </w:tcPr>
          <w:p>
            <w:r>
              <w:t>sí</w:t>
            </w:r>
          </w:p>
        </w:tc>
      </w:tr>
      <w:tr>
        <w:tc>
          <w:tcPr>
            <w:tcW w:type="dxa" w:w="1949"/>
          </w:tcPr>
          <w:p>
            <w:r>
              <w:t>casos_en_proceso</w:t>
            </w:r>
          </w:p>
        </w:tc>
        <w:tc>
          <w:tcPr>
            <w:tcW w:type="dxa" w:w="1949"/>
          </w:tcPr>
          <w:p>
            <w:r>
              <w:t>base clínica</w:t>
            </w:r>
          </w:p>
        </w:tc>
        <w:tc>
          <w:tcPr>
            <w:tcW w:type="dxa" w:w="1949"/>
          </w:tcPr>
          <w:p>
            <w:r>
              <w:t>muestras en análisis</w:t>
            </w:r>
          </w:p>
        </w:tc>
        <w:tc>
          <w:tcPr>
            <w:tcW w:type="dxa" w:w="1949"/>
          </w:tcPr>
          <w:p>
            <w:r>
              <w:t>lee</w:t>
            </w:r>
          </w:p>
        </w:tc>
        <w:tc>
          <w:tcPr>
            <w:tcW w:type="dxa" w:w="1949"/>
          </w:tcPr>
          <w:p>
            <w:r>
              <w:t>sí</w:t>
            </w:r>
          </w:p>
        </w:tc>
      </w:tr>
      <w:tr>
        <w:tc>
          <w:tcPr>
            <w:tcW w:type="dxa" w:w="1949"/>
          </w:tcPr>
          <w:p>
            <w:r>
              <w:t>buscar_documentacion</w:t>
            </w:r>
          </w:p>
        </w:tc>
        <w:tc>
          <w:tcPr>
            <w:tcW w:type="dxa" w:w="1949"/>
          </w:tcPr>
          <w:p>
            <w:r>
              <w:t>RAG interno</w:t>
            </w:r>
          </w:p>
        </w:tc>
        <w:tc>
          <w:tcPr>
            <w:tcW w:type="dxa" w:w="1949"/>
          </w:tcPr>
          <w:p>
            <w:r>
              <w:t>recupera fragmentos con su fuente</w:t>
            </w:r>
          </w:p>
        </w:tc>
        <w:tc>
          <w:tcPr>
            <w:tcW w:type="dxa" w:w="1949"/>
          </w:tcPr>
          <w:p>
            <w:r>
              <w:t>lee</w:t>
            </w:r>
          </w:p>
        </w:tc>
        <w:tc>
          <w:tcPr>
            <w:tcW w:type="dxa" w:w="1949"/>
          </w:tcPr>
          <w:p>
            <w:r>
              <w:t>sí</w:t>
            </w:r>
          </w:p>
        </w:tc>
      </w:tr>
      <w:tr>
        <w:tc>
          <w:tcPr>
            <w:tcW w:type="dxa" w:w="1949"/>
          </w:tcPr>
          <w:p>
            <w:r>
              <w:t>preparar_validacion_de_caso</w:t>
            </w:r>
          </w:p>
        </w:tc>
        <w:tc>
          <w:tcPr>
            <w:tcW w:type="dxa" w:w="1949"/>
          </w:tcPr>
          <w:p>
            <w:r>
              <w:t>base clínica</w:t>
            </w:r>
          </w:p>
        </w:tc>
        <w:tc>
          <w:tcPr>
            <w:tcW w:type="dxa" w:w="1949"/>
          </w:tcPr>
          <w:p>
            <w:r>
              <w:t>prepara la validación de un caso</w:t>
            </w:r>
          </w:p>
        </w:tc>
        <w:tc>
          <w:tcPr>
            <w:tcW w:type="dxa" w:w="1949"/>
          </w:tcPr>
          <w:p>
            <w:r>
              <w:t>ESCRIBE</w:t>
            </w:r>
          </w:p>
        </w:tc>
        <w:tc>
          <w:tcPr>
            <w:tcW w:type="dxa" w:w="1949"/>
          </w:tcPr>
          <w:p>
            <w:r>
              <w:t>sí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1F3455"/>
          <w:sz w:val="21"/>
        </w:rPr>
        <w:t>¿Cómo se conecta el agente con el resto del sistema?</w:t>
      </w:r>
      <w:r>
        <w:rPr>
          <w:i/>
          <w:color w:val="6B7280"/>
          <w:sz w:val="18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Las descubre por protocolo, no las importa. El bucle recibe dos cosas —la lista de schemas y una función ejecutar— y no sabe qué herramientas existen: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 xml:space="preserve">   local:   schemas=agente_acciones.schemas()   ejecutar=agente_acciones.ejecutar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 xml:space="preserve">   vía MCP: schemas=conexion.descubrir_tools()  ejecutar=conexion.ejecutar_tool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Ese desacople es lo que permite cambiar el enchufe sin tocar la lógica: el mismo bucle funciona con las herramientas importadas o descubiertas.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Al RAG llega como una herramienta más (buscar_documentacion). A la base de datos llega a través del catálogo de herramientas, que ejecuta consultas del ORM: el dato sale del código, nunca del modelo.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cliente_mcp.py lo demuestra: descubre y ejecuta las 6 herramientas sin importar Django ni el catálogo, hablando solo el protocolo.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rFonts w:ascii="Calibri" w:hAnsi="Calibri"/>
          <w:b/>
          <w:i w:val="0"/>
          <w:color w:val="2A2A33"/>
          <w:sz w:val="21"/>
        </w:rPr>
        <w:t xml:space="preserve">Si publicaron un servidor MCP, completen esto: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6009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4873"/>
          </w:tcPr>
          <w:p>
            <w:r>
              <w:t>Nombre del servidor</w:t>
            </w:r>
          </w:p>
        </w:tc>
        <w:tc>
          <w:tcPr>
            <w:tcW w:type="dxa" w:w="4873"/>
          </w:tcPr>
          <w:p>
            <w:r>
              <w:t>biomed</w:t>
            </w:r>
          </w:p>
        </w:tc>
      </w:tr>
      <w:tr>
        <w:tc>
          <w:tcPr>
            <w:tcW w:type="dxa" w:w="4873"/>
          </w:tcPr>
          <w:p>
            <w:r>
              <w:t>Transporte</w:t>
            </w:r>
          </w:p>
        </w:tc>
        <w:tc>
          <w:tcPr>
            <w:tcW w:type="dxa" w:w="4873"/>
          </w:tcPr>
          <w:p>
            <w:r>
              <w:t>stdio — proceso hijo, JSON-RPC 2.0</w:t>
            </w:r>
          </w:p>
        </w:tc>
      </w:tr>
      <w:tr>
        <w:tc>
          <w:tcPr>
            <w:tcW w:type="dxa" w:w="4873"/>
          </w:tcPr>
          <w:p>
            <w:r>
              <w:t>Herramientas que publica</w:t>
            </w:r>
          </w:p>
        </w:tc>
        <w:tc>
          <w:tcPr>
            <w:tcW w:type="dxa" w:w="4873"/>
          </w:tcPr>
          <w:p>
            <w:r>
              <w:t>6</w:t>
            </w:r>
          </w:p>
        </w:tc>
      </w:tr>
      <w:tr>
        <w:tc>
          <w:tcPr>
            <w:tcW w:type="dxa" w:w="4873"/>
          </w:tcPr>
          <w:p>
            <w:r>
              <w:t>Clientes que lo consumen</w:t>
            </w:r>
          </w:p>
        </w:tc>
        <w:tc>
          <w:tcPr>
            <w:tcW w:type="dxa" w:w="4873"/>
          </w:tcPr>
          <w:p>
            <w:r>
              <w:t>el agente del sistema y cliente_mcp.py</w:t>
            </w:r>
          </w:p>
        </w:tc>
      </w:tr>
      <w:tr>
        <w:tc>
          <w:tcPr>
            <w:tcW w:type="dxa" w:w="4873"/>
          </w:tcPr>
          <w:p>
            <w:r>
              <w:t>Descubrimiento</w:t>
            </w:r>
          </w:p>
        </w:tc>
        <w:tc>
          <w:tcPr>
            <w:tcW w:type="dxa" w:w="4873"/>
          </w:tcPr>
          <w:p>
            <w:r>
              <w:t>tools/list — ninguna herramienta escrita a mano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/>
          <w:b w:val="0"/>
          <w:i w:val="0"/>
          <w:color w:val="2A2A33"/>
          <w:sz w:val="21"/>
        </w:rPr>
        <w:t>Datos a completar: nombre del servidor, transporte (stdio o HTTP), cuántas herramientas publica, qué clientes lo consumen, y si el cliente las descubre con `tools/list` o están escritas a mano.</w:t>
      </w:r>
    </w:p>
    <w:p>
      <w:pPr>
        <w:spacing w:before="160" w:after="40"/>
      </w:pPr>
      <w:r>
        <w:rPr>
          <w:b/>
          <w:color w:val="1F3455"/>
          <w:sz w:val="21"/>
        </w:rPr>
        <w:t>Control del bucle del agente</w:t>
      </w:r>
      <w:r>
        <w:rPr>
          <w:i/>
          <w:color w:val="6B7280"/>
          <w:sz w:val="18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MAX_PASOS = 6. Si se alcanza, el bucle se corta y queda REGISTRADO COMO CORTE en la traza: no se disfraza de respuesta final, porque un usuario que recibe una respuesta truncada sin aviso no sabe que le falta información.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Está probado con un modelo simulado que nunca deja de pedir herramientas: el bucle corta exactamente en 6 llamadas.</w:t>
            </w:r>
          </w:p>
        </w:tc>
      </w:tr>
    </w:tbl>
    <w:p>
      <w:pPr>
        <w:spacing w:after="0"/>
      </w:pPr>
    </w:p>
    <w:p>
      <w:pPr>
        <w:spacing w:before="160" w:after="40"/>
      </w:pPr>
      <w:r>
        <w:rPr>
          <w:b/>
          <w:color w:val="1F3455"/>
          <w:sz w:val="21"/>
        </w:rPr>
        <w:t>Traza del agente</w:t>
      </w:r>
      <w:r>
        <w:rPr>
          <w:i/>
          <w:color w:val="6B7280"/>
          <w:sz w:val="18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Sí. Cada paso se registra con su tipo —pregunta, acción, observación, respuesta o corte— y el consumo de tokens de entrada y salida.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Se ve en tres sitios: en la respuesta de POST /api/clinic/agente/, en la salida de python manage.py demo_agente, y en la pantalla de consultas del frontend.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No es información de depuración: es el único modo de comprobar si el agente encadenó de verdad o rellenó el hueco inventando. Sin traza, un agente es un oráculo.</w:t>
            </w:r>
          </w:p>
        </w:tc>
      </w:tr>
    </w:tbl>
    <w:p>
      <w:pPr>
        <w:spacing w:after="0"/>
      </w:pPr>
    </w:p>
    <w:p>
      <w:pPr>
        <w:spacing w:after="40"/>
      </w:pPr>
    </w:p>
    <w:p>
      <w:r>
        <w:br w:type="page"/>
      </w:r>
    </w:p>
    <w:p>
      <w:pPr>
        <w:spacing w:before="320" w:after="100"/>
        <w:pBdr>
          <w:bottom w:val="single" w:sz="6" w:space="3" w:color="D9CBB0"/>
        </w:pBdr>
      </w:pPr>
      <w:r>
        <w:rPr>
          <w:rFonts w:ascii="Cambria" w:hAnsi="Cambria"/>
          <w:b/>
          <w:color w:val="1F3455"/>
          <w:sz w:val="28"/>
        </w:rPr>
        <w:t>6 · Orquestación (Nivel 5) — capítulo opcional</w:t>
      </w:r>
    </w:p>
    <w:p>
      <w:pPr>
        <w:spacing w:after="40"/>
      </w:pPr>
    </w:p>
    <w:p>
      <w:pPr>
        <w:spacing w:after="120"/>
      </w:pPr>
      <w:r>
        <w:rPr>
          <w:rFonts w:ascii="Calibri" w:hAnsi="Calibri"/>
          <w:b/>
          <w:i w:val="0"/>
          <w:color w:val="2A2A33"/>
          <w:sz w:val="21"/>
        </w:rPr>
        <w:t xml:space="preserve">Recordatorio de qué es orquestar: </w:t>
      </w:r>
      <w:r>
        <w:rPr>
          <w:rFonts w:ascii="Calibri" w:hAnsi="Calibri"/>
          <w:b w:val="0"/>
          <w:i w:val="0"/>
          <w:color w:val="2A2A33"/>
          <w:sz w:val="21"/>
        </w:rPr>
        <w:t>decidir QUÉ se ejecuta, EN QUÉ ORDEN, CON QUÉ DATOS, y QUÉ PASA CUANDO ALGO FALLA. Encadenar llamadas una detrás de otra no es orquestar: eso es un pipeline. La orquestación empieza cuando hay ramas, ciclos y estado que sobrevive.</w:t>
      </w:r>
    </w:p>
    <w:p>
      <w:pPr>
        <w:spacing w:before="200" w:after="60"/>
      </w:pPr>
      <w:r>
        <w:rPr>
          <w:b/>
          <w:color w:val="B5670F"/>
          <w:sz w:val="23"/>
        </w:rPr>
        <w:t>6.1 · Qué hace su orquestador</w:t>
      </w:r>
    </w:p>
    <w:p>
      <w:pPr>
        <w:spacing w:before="160" w:after="40"/>
      </w:pPr>
      <w:r>
        <w:rPr>
          <w:b/>
          <w:color w:val="1F3455"/>
          <w:sz w:val="21"/>
        </w:rPr>
        <w:t>Descripción del flujo orquestado</w:t>
      </w:r>
      <w:r>
        <w:rPr>
          <w:i/>
          <w:color w:val="6B7280"/>
          <w:sz w:val="18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En una frase: el bucle del agente implementado como grafo de estados con memoria que sobrevive al proceso.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En detalle: agente_grafo.py monta el ciclo pensar → actuar → pensar como un StateGraph de LangGraph, con un checkpointer SQLite por thread_id. La conversación se guarda tras cada paso, así que sobrevive al reinicio y se reanuda: una repregunta como «¿y de esos cuál mencionaste primero?» llega con su referente.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Lo que deliberadamente NO orquesta: el flujo clínico. Ver 6.2.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rFonts w:ascii="Calibri" w:hAnsi="Calibri"/>
          <w:b w:val="0"/>
          <w:i w:val="0"/>
          <w:color w:val="2A2A33"/>
          <w:sz w:val="21"/>
        </w:rPr>
        <w:t>Listen los pasos o nodos de su flujo y qué hace cada uno: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041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Paso / nodo</w:t>
            </w:r>
          </w:p>
        </w:tc>
        <w:tc>
          <w:tcPr>
            <w:tcW w:type="dxa" w:w="2721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Qué hace</w:t>
            </w:r>
          </w:p>
        </w:tc>
        <w:tc>
          <w:tcPr>
            <w:tcW w:type="dxa" w:w="2268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Qué datos lee</w:t>
            </w:r>
          </w:p>
        </w:tc>
        <w:tc>
          <w:tcPr>
            <w:tcW w:type="dxa" w:w="2381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Qué datos escribe</w:t>
            </w:r>
          </w:p>
        </w:tc>
      </w:tr>
      <w:tr>
        <w:tc>
          <w:tcPr>
            <w:tcW w:type="dxa" w:w="2436"/>
          </w:tcPr>
          <w:p>
            <w:r>
              <w:t>pensar</w:t>
            </w:r>
          </w:p>
        </w:tc>
        <w:tc>
          <w:tcPr>
            <w:tcW w:type="dxa" w:w="2436"/>
          </w:tcPr>
          <w:p>
            <w:r>
              <w:t>pregunta al modelo con el historial y los schemas</w:t>
            </w:r>
          </w:p>
        </w:tc>
        <w:tc>
          <w:tcPr>
            <w:tcW w:type="dxa" w:w="2436"/>
          </w:tcPr>
          <w:p>
            <w:r>
              <w:t>historial completo del hilo</w:t>
            </w:r>
          </w:p>
        </w:tc>
        <w:tc>
          <w:tcPr>
            <w:tcW w:type="dxa" w:w="2436"/>
          </w:tcPr>
          <w:p>
            <w:r>
              <w:t>mensaje del modelo: texto o petición de herramientas</w:t>
            </w:r>
          </w:p>
        </w:tc>
      </w:tr>
      <w:tr>
        <w:tc>
          <w:tcPr>
            <w:tcW w:type="dxa" w:w="2436"/>
          </w:tcPr>
          <w:p>
            <w:r>
              <w:t>actuar</w:t>
            </w:r>
          </w:p>
        </w:tc>
        <w:tc>
          <w:tcPr>
            <w:tcW w:type="dxa" w:w="2436"/>
          </w:tcPr>
          <w:p>
            <w:r>
              <w:t>ejecuta lo que el modelo pidió</w:t>
            </w:r>
          </w:p>
        </w:tc>
        <w:tc>
          <w:tcPr>
            <w:tcW w:type="dxa" w:w="2436"/>
          </w:tcPr>
          <w:p>
            <w:r>
              <w:t>la petición de herramientas</w:t>
            </w:r>
          </w:p>
        </w:tc>
        <w:tc>
          <w:tcPr>
            <w:tcW w:type="dxa" w:w="2436"/>
          </w:tcPr>
          <w:p>
            <w:r>
              <w:t>observaciones, como mensajes de rol tool</w:t>
            </w:r>
          </w:p>
        </w:tc>
      </w:tr>
      <w:tr>
        <w:tc>
          <w:tcPr>
            <w:tcW w:type="dxa" w:w="2436"/>
          </w:tcPr>
          <w:p>
            <w:r>
              <w:t>(condicional)</w:t>
            </w:r>
          </w:p>
        </w:tc>
        <w:tc>
          <w:tcPr>
            <w:tcW w:type="dxa" w:w="2436"/>
          </w:tcPr>
          <w:p>
            <w:r>
              <w:t>decide si volver a pensar o terminar</w:t>
            </w:r>
          </w:p>
        </w:tc>
        <w:tc>
          <w:tcPr>
            <w:tcW w:type="dxa" w:w="2436"/>
          </w:tcPr>
          <w:p>
            <w:r>
              <w:t>último mensaje del hilo</w:t>
            </w:r>
          </w:p>
        </w:tc>
        <w:tc>
          <w:tcPr>
            <w:tcW w:type="dxa" w:w="2436"/>
          </w:tcPr>
          <w:p>
            <w:r>
              <w:t>—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b/>
          <w:color w:val="B5670F"/>
          <w:sz w:val="23"/>
        </w:rPr>
        <w:t>6.2 · Las decisiones del flujo (ramas)</w:t>
      </w:r>
    </w:p>
    <w:p>
      <w:pPr>
        <w:spacing w:after="120"/>
      </w:pPr>
      <w:r>
        <w:rPr>
          <w:rFonts w:ascii="Calibri" w:hAnsi="Calibri"/>
          <w:b w:val="0"/>
          <w:i w:val="0"/>
          <w:color w:val="2A2A33"/>
          <w:sz w:val="21"/>
        </w:rPr>
        <w:t>Aquí está lo que de verdad se evalúa: los puntos donde el flujo se bifurca, y con qué criterio. Una buena rama es una regla de NEGOCIO, no una regla técnica.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Punto de decisión</w:t>
            </w:r>
          </w:p>
        </w:tc>
        <w:tc>
          <w:tcPr>
            <w:tcW w:type="dxa" w:w="2608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Condición</w:t>
            </w:r>
          </w:p>
        </w:tc>
        <w:tc>
          <w:tcPr>
            <w:tcW w:type="dxa" w:w="2268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Camino A</w:t>
            </w:r>
          </w:p>
        </w:tc>
        <w:tc>
          <w:tcPr>
            <w:tcW w:type="dxa" w:w="2268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Camino B</w:t>
            </w:r>
          </w:p>
        </w:tc>
      </w:tr>
      <w:tr>
        <w:tc>
          <w:tcPr>
            <w:tcW w:type="dxa" w:w="2436"/>
          </w:tcPr>
          <w:p>
            <w:r>
              <w:t>Tras pensar</w:t>
            </w:r>
          </w:p>
        </w:tc>
        <w:tc>
          <w:tcPr>
            <w:tcW w:type="dxa" w:w="2436"/>
          </w:tcPr>
          <w:p>
            <w:r>
              <w:t>¿el modelo pidió herramientas?</w:t>
            </w:r>
          </w:p>
        </w:tc>
        <w:tc>
          <w:tcPr>
            <w:tcW w:type="dxa" w:w="2436"/>
          </w:tcPr>
          <w:p>
            <w:r>
              <w:t>ir a actuar</w:t>
            </w:r>
          </w:p>
        </w:tc>
        <w:tc>
          <w:tcPr>
            <w:tcW w:type="dxa" w:w="2436"/>
          </w:tcPr>
          <w:p>
            <w:r>
              <w:t>terminar y responder</w:t>
            </w:r>
          </w:p>
        </w:tc>
      </w:tr>
      <w:tr>
        <w:tc>
          <w:tcPr>
            <w:tcW w:type="dxa" w:w="2436"/>
          </w:tcPr>
          <w:p>
            <w:r>
              <w:t>Tras actuar</w:t>
            </w:r>
          </w:p>
        </w:tc>
        <w:tc>
          <w:tcPr>
            <w:tcW w:type="dxa" w:w="2436"/>
          </w:tcPr>
          <w:p>
            <w:r>
              <w:t>siempre</w:t>
            </w:r>
          </w:p>
        </w:tc>
        <w:tc>
          <w:tcPr>
            <w:tcW w:type="dxa" w:w="2436"/>
          </w:tcPr>
          <w:p>
            <w:r>
              <w:t>volver a pensar</w:t>
            </w:r>
          </w:p>
        </w:tc>
        <w:tc>
          <w:tcPr>
            <w:tcW w:type="dxa" w:w="2436"/>
          </w:tcPr>
          <w:p>
            <w:r>
              <w:t>—</w:t>
            </w:r>
          </w:p>
        </w:tc>
      </w:tr>
      <w:tr>
        <w:tc>
          <w:tcPr>
            <w:tcW w:type="dxa" w:w="2436"/>
          </w:tcPr>
          <w:p>
            <w:r>
              <w:t>Tope de recursión</w:t>
            </w:r>
          </w:p>
        </w:tc>
        <w:tc>
          <w:tcPr>
            <w:tcW w:type="dxa" w:w="2436"/>
          </w:tcPr>
          <w:p>
            <w:r>
              <w:t>pasos ≥ 13 (2×MAX_PASOS+1)</w:t>
            </w:r>
          </w:p>
        </w:tc>
        <w:tc>
          <w:tcPr>
            <w:tcW w:type="dxa" w:w="2436"/>
          </w:tcPr>
          <w:p>
            <w:r>
              <w:t>cortar y registrarlo en la traza</w:t>
            </w:r>
          </w:p>
        </w:tc>
        <w:tc>
          <w:tcPr>
            <w:tcW w:type="dxa" w:w="2436"/>
          </w:tcPr>
          <w:p>
            <w:r>
              <w:t>—</w:t>
            </w:r>
          </w:p>
        </w:tc>
      </w:tr>
      <w:tr>
        <w:tc>
          <w:tcPr>
            <w:tcW w:type="dxa" w:w="2436"/>
          </w:tcPr>
          <w:p>
            <w:r>
              <w:t>NOTA</w:t>
            </w:r>
          </w:p>
        </w:tc>
        <w:tc>
          <w:tcPr>
            <w:tcW w:type="dxa" w:w="2436"/>
          </w:tcPr>
          <w:p>
            <w:r>
              <w:t>estas ramas son TÉCNICAS</w:t>
            </w:r>
          </w:p>
        </w:tc>
        <w:tc>
          <w:tcPr>
            <w:tcW w:type="dxa" w:w="2436"/>
          </w:tcPr>
          <w:p>
            <w:r>
              <w:t>Las de NEGOCIO existen —naranjas sin resolver, auditoría del 5%— pero viven en la máquina de estados del dominio, en PostgreSQL con audit trail encadenado</w:t>
            </w:r>
          </w:p>
        </w:tc>
        <w:tc>
          <w:tcPr>
            <w:tcW w:type="dxa" w:w="2436"/>
          </w:tcPr>
          <w:p>
            <w:r>
              <w:t>Moverlas a los checkpoints crearía una segunda fuente de verdad en un proceso auditado (ADR-0031, ADR-0032)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60"/>
      </w:pPr>
      <w:r>
        <w:rPr>
          <w:b/>
          <w:color w:val="B5670F"/>
          <w:sz w:val="23"/>
        </w:rPr>
        <w:t>6.3 · Cómo comprende la intención del usuario</w:t>
      </w:r>
    </w:p>
    <w:p>
      <w:pPr>
        <w:spacing w:after="120"/>
      </w:pPr>
      <w:r>
        <w:rPr>
          <w:rFonts w:ascii="Calibri" w:hAnsi="Calibri"/>
          <w:b w:val="0"/>
          <w:i w:val="0"/>
          <w:color w:val="2A2A33"/>
          <w:sz w:val="21"/>
        </w:rPr>
        <w:t>Este es el punto de entrada de todo el flujo: si la intención se detecta mal, todo lo que sigue va por el camino equivocado.</w:t>
      </w:r>
    </w:p>
    <w:p>
      <w:pPr>
        <w:spacing w:before="160" w:after="40"/>
      </w:pPr>
      <w:r>
        <w:rPr>
          <w:b/>
          <w:color w:val="1F3455"/>
          <w:sz w:val="21"/>
        </w:rPr>
        <w:t>¿Cómo detectan la intención?</w:t>
      </w:r>
      <w:r>
        <w:rPr>
          <w:i/>
          <w:color w:val="6B7280"/>
          <w:sz w:val="18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Con una mezcla, y el orden importa. Primero se buscan palabras del catálogo, sin modelo. Solo si no coincide nada interviene el modelo, y su única tarea es elegir un nombre de un enum cerrado.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Esa prioridad no es una optimización: es lo que hace que el sistema siga clasificando la intención con la IA apagada (RN-07).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rFonts w:ascii="Calibri" w:hAnsi="Calibri"/>
          <w:b w:val="0"/>
          <w:i w:val="0"/>
          <w:color w:val="2A2A33"/>
          <w:sz w:val="21"/>
        </w:rPr>
        <w:t>Listen las intenciones que su sistema reconoce y a dónde lleva cada una: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268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Intención</w:t>
            </w:r>
          </w:p>
        </w:tc>
        <w:tc>
          <w:tcPr>
            <w:tcW w:type="dxa" w:w="3742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Ejemplo de frase del usuario</w:t>
            </w:r>
          </w:p>
        </w:tc>
        <w:tc>
          <w:tcPr>
            <w:tcW w:type="dxa" w:w="3402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 dónde la lleva el flujo</w:t>
            </w:r>
          </w:p>
        </w:tc>
      </w:tr>
      <w:tr>
        <w:tc>
          <w:tcPr>
            <w:tcW w:type="dxa" w:w="3249"/>
          </w:tcPr>
          <w:p>
            <w:r>
              <w:t>Consultar estado</w:t>
            </w:r>
          </w:p>
        </w:tc>
        <w:tc>
          <w:tcPr>
            <w:tcW w:type="dxa" w:w="3249"/>
          </w:tcPr>
          <w:p>
            <w:r>
              <w:t>«¿qué cromosomas están naranjas?»</w:t>
            </w:r>
          </w:p>
        </w:tc>
        <w:tc>
          <w:tcPr>
            <w:tcW w:type="dxa" w:w="3249"/>
          </w:tcPr>
          <w:p>
            <w:r>
              <w:t>herramienta de consulta a la base</w:t>
            </w:r>
          </w:p>
        </w:tc>
      </w:tr>
      <w:tr>
        <w:tc>
          <w:tcPr>
            <w:tcW w:type="dxa" w:w="3249"/>
          </w:tcPr>
          <w:p>
            <w:r>
              <w:t>Consultar documentación</w:t>
            </w:r>
          </w:p>
        </w:tc>
        <w:tc>
          <w:tcPr>
            <w:tcW w:type="dxa" w:w="3249"/>
          </w:tcPr>
          <w:p>
            <w:r>
              <w:t>«¿qué significa que un cromosoma esté naranja?»</w:t>
            </w:r>
          </w:p>
        </w:tc>
        <w:tc>
          <w:tcPr>
            <w:tcW w:type="dxa" w:w="3249"/>
          </w:tcPr>
          <w:p>
            <w:r>
              <w:t>corpus documental (RAG)</w:t>
            </w:r>
          </w:p>
        </w:tc>
      </w:tr>
      <w:tr>
        <w:tc>
          <w:tcPr>
            <w:tcW w:type="dxa" w:w="3249"/>
          </w:tcPr>
          <w:p>
            <w:r>
              <w:t>Fuera de alcance</w:t>
            </w:r>
          </w:p>
        </w:tc>
        <w:tc>
          <w:tcPr>
            <w:tcW w:type="dxa" w:w="3249"/>
          </w:tcPr>
          <w:p>
            <w:r>
              <w:t>«¿cuál es el presupuesto del laboratorio?»</w:t>
            </w:r>
          </w:p>
        </w:tc>
        <w:tc>
          <w:tcPr>
            <w:tcW w:type="dxa" w:w="3249"/>
          </w:tcPr>
          <w:p>
            <w:r>
              <w:t>SIN_MATCH: dice que no sabe y publica el catálogo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1F3455"/>
          <w:sz w:val="21"/>
        </w:rPr>
        <w:t>¿En qué formato devuelve la intención el modelo?</w:t>
      </w:r>
      <w:r>
        <w:rPr>
          <w:i/>
          <w:color w:val="6B7280"/>
          <w:sz w:val="18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JSON tipado, con json_schema y strict=true. El modelo solo puede devolver el nombre de una herramienta de un enum cerrado, más un motivo breve. No hay texto libre que interpretar y por tanto no hay nada que parsear a mano.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Se valida al recibirlo: si el nombre no está en el catálogo, se ignora y se le dice al modelo qué existe, en vez de fallar en silencio.</w:t>
            </w:r>
          </w:p>
        </w:tc>
      </w:tr>
    </w:tbl>
    <w:p>
      <w:pPr>
        <w:spacing w:after="0"/>
      </w:pPr>
    </w:p>
    <w:p>
      <w:pPr>
        <w:spacing w:before="160" w:after="40"/>
      </w:pPr>
      <w:r>
        <w:rPr>
          <w:b/>
          <w:color w:val="1F3455"/>
          <w:sz w:val="21"/>
        </w:rPr>
        <w:t>¿Qué pasa cuando NO reconoce la intención, o se equivoca?</w:t>
      </w:r>
      <w:r>
        <w:rPr>
          <w:i/>
          <w:color w:val="6B7280"/>
          <w:sz w:val="18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Existe el camino SIN_MATCH: el sistema dice que no sabe y publica el catálogo de lo que sí puede responder. No es un error, es la respuesta correcta cuando el dato no está en el sistema.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El criterio que gobierna esto: elegir una herramienta equivocada es PEOR que abstenerse, porque el usuario recibiría datos reales que no responden a su pregunta y no tendría forma de notarlo.</w:t>
            </w:r>
          </w:p>
        </w:tc>
      </w:tr>
    </w:tbl>
    <w:p>
      <w:pPr>
        <w:spacing w:after="0"/>
      </w:pPr>
    </w:p>
    <w:p>
      <w:pPr>
        <w:spacing w:before="160" w:after="40"/>
      </w:pPr>
      <w:r>
        <w:rPr>
          <w:b/>
          <w:color w:val="1F3455"/>
          <w:sz w:val="21"/>
        </w:rPr>
        <w:t>¿Lo midieron?</w:t>
      </w:r>
      <w:r>
        <w:rPr>
          <w:i/>
          <w:color w:val="6B7280"/>
          <w:sz w:val="18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Sí. Banco de 56 preguntas etiquetadas: 44 correctas (79%). Desglosado: dentro de alcance 33/38 (87%), fuera de alcance 11/18 (61%).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El desglose importa más que el total, por lo dicho arriba: fallar dentro de alcance manda al usuario a «no sé»; fallar fuera le entrega datos que no responden su pregunta.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Comando: python manage.py eval_enrutado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b/>
          <w:color w:val="B5670F"/>
          <w:sz w:val="23"/>
        </w:rPr>
        <w:t>6.4 · Estado y persistencia</w:t>
      </w:r>
    </w:p>
    <w:p>
      <w:pPr>
        <w:spacing w:before="160" w:after="40"/>
      </w:pPr>
      <w:r>
        <w:rPr>
          <w:b/>
          <w:color w:val="1F3455"/>
          <w:sz w:val="21"/>
        </w:rPr>
        <w:t>¿Qué guarda el estado del flujo?</w:t>
      </w:r>
      <w:r>
        <w:rPr>
          <w:i/>
          <w:color w:val="6B7280"/>
          <w:sz w:val="18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La lista de mensajes del hilo: la pregunta del usuario, las peticiones de herramientas que hizo el modelo, las observaciones que devolvieron esas herramientas, y las respuestas. Se identifica por thread_id.</w:t>
            </w:r>
          </w:p>
        </w:tc>
      </w:tr>
    </w:tbl>
    <w:p>
      <w:pPr>
        <w:spacing w:after="0"/>
      </w:pPr>
    </w:p>
    <w:p>
      <w:pPr>
        <w:spacing w:before="160" w:after="40"/>
      </w:pPr>
      <w:r>
        <w:rPr>
          <w:b/>
          <w:color w:val="1F3455"/>
          <w:sz w:val="21"/>
        </w:rPr>
        <w:t>¿El estado sobrevive si se reinicia el proceso?</w:t>
      </w:r>
      <w:r>
        <w:rPr>
          <w:i/>
          <w:color w:val="6B7280"/>
          <w:sz w:val="18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Sí, sobrevive. Se guarda en backend-clinic/agente_memoria.sqlite3, bajo el thread_id que el cliente envía en la petición.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Vive en un fichero SEPARADO de la base clínica, a propósito: mezclar la conversación con la historia clínica ensuciaría el audit trail.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Medido (python manage.py eval_memoria, 10 pares de pregunta y repregunta): en el grupo que exige memoria, el nivel 4 acierta 0 de 8 y el nivel 5 acierta 4 de 8. El grupo de control —repreguntas que sí se pueden resolver reconsultando— da 0/2 en ambos, y está ahí precisamente para que el banco pueda dar la razón al nivel 4.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4 de 8 no es 8 de 8: el checkpoint persiste siempre, lo que falla es que llama3.2:3b lo aproveche. Se intentó corregir con el prompt y empeoró a 2/8, así que se revirtió. El límite es el modelo, no la arquitectura.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320" w:after="100"/>
        <w:pBdr>
          <w:bottom w:val="single" w:sz="6" w:space="3" w:color="D9CBB0"/>
        </w:pBdr>
      </w:pPr>
      <w:r>
        <w:rPr>
          <w:rFonts w:ascii="Cambria" w:hAnsi="Cambria"/>
          <w:b/>
          <w:color w:val="1F3455"/>
          <w:sz w:val="28"/>
        </w:rPr>
        <w:t>7 · Evidencias</w:t>
      </w:r>
    </w:p>
    <w:p>
      <w:pPr>
        <w:spacing w:after="120"/>
      </w:pPr>
      <w:r>
        <w:rPr>
          <w:rFonts w:ascii="Calibri" w:hAnsi="Calibri"/>
          <w:b/>
          <w:i w:val="0"/>
          <w:color w:val="2A2A33"/>
          <w:sz w:val="21"/>
        </w:rPr>
        <w:t xml:space="preserve">Regla: </w:t>
      </w:r>
      <w:r>
        <w:rPr>
          <w:rFonts w:ascii="Calibri" w:hAnsi="Calibri"/>
          <w:b w:val="0"/>
          <w:i w:val="0"/>
          <w:color w:val="2A2A33"/>
          <w:sz w:val="21"/>
        </w:rPr>
        <w:t>cada capacidad que afirmaron en el capítulo 5 necesita al menos una evidencia aquí. Las capturas deben estar anotadas — una flecha o un recuadro señalando qué hay que mirar. Una captura sin anotar obliga al lector a adivinar.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948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 afirmada</w:t>
            </w:r>
          </w:p>
        </w:tc>
        <w:tc>
          <w:tcPr>
            <w:tcW w:type="dxa" w:w="3402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Evidencia</w:t>
            </w:r>
          </w:p>
        </w:tc>
        <w:tc>
          <w:tcPr>
            <w:tcW w:type="dxa" w:w="3061"/>
            <w:shd w:val="clear" w:fill="1F3455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Dónde está</w:t>
            </w:r>
          </w:p>
        </w:tc>
      </w:tr>
      <w:tr>
        <w:tc>
          <w:tcPr>
            <w:tcW w:type="dxa" w:w="3249"/>
          </w:tcPr>
          <w:p>
            <w:r>
              <w:t>Niveles 0-1: narrativa con salida estructurada</w:t>
            </w:r>
          </w:p>
        </w:tc>
        <w:tc>
          <w:tcPr>
            <w:tcW w:type="dxa" w:w="3249"/>
          </w:tcPr>
          <w:p>
            <w:r>
              <w:t>JSON validado y reintento ante error</w:t>
            </w:r>
          </w:p>
        </w:tc>
        <w:tc>
          <w:tcPr>
            <w:tcW w:type="dxa" w:w="3249"/>
          </w:tcPr>
          <w:p>
            <w:r>
              <w:t>python manage.py demo_llm</w:t>
            </w:r>
          </w:p>
        </w:tc>
      </w:tr>
      <w:tr>
        <w:tc>
          <w:tcPr>
            <w:tcW w:type="dxa" w:w="3249"/>
          </w:tcPr>
          <w:p>
            <w:r>
              <w:t>Nivel 2: los 4 escenarios de la consigna</w:t>
            </w:r>
          </w:p>
        </w:tc>
        <w:tc>
          <w:tcPr>
            <w:tcW w:type="dxa" w:w="3249"/>
          </w:tcPr>
          <w:p>
            <w:r>
              <w:t>happy path, sinónimo, fuera de alcance, modelo apagado</w:t>
            </w:r>
          </w:p>
        </w:tc>
        <w:tc>
          <w:tcPr>
            <w:tcW w:type="dxa" w:w="3249"/>
          </w:tcPr>
          <w:p>
            <w:r>
              <w:t>python manage.py demo_tools</w:t>
            </w:r>
          </w:p>
        </w:tc>
      </w:tr>
      <w:tr>
        <w:tc>
          <w:tcPr>
            <w:tcW w:type="dxa" w:w="3249"/>
          </w:tcPr>
          <w:p>
            <w:r>
              <w:t>Código y salida en una sola pantalla</w:t>
            </w:r>
          </w:p>
        </w:tc>
        <w:tc>
          <w:tcPr>
            <w:tcW w:type="dxa" w:w="3249"/>
          </w:tcPr>
          <w:p>
            <w:r>
              <w:t>lee el código con inspect.getsource de la fuente real</w:t>
            </w:r>
          </w:p>
        </w:tc>
        <w:tc>
          <w:tcPr>
            <w:tcW w:type="dxa" w:w="3249"/>
          </w:tcPr>
          <w:p>
            <w:r>
              <w:t>python manage.py demo_codigo_salida</w:t>
            </w:r>
          </w:p>
        </w:tc>
      </w:tr>
      <w:tr>
        <w:tc>
          <w:tcPr>
            <w:tcW w:type="dxa" w:w="3249"/>
          </w:tcPr>
          <w:p>
            <w:r>
              <w:t>Nivel 3: el RAG cita y sabe abstenerse</w:t>
            </w:r>
          </w:p>
        </w:tc>
        <w:tc>
          <w:tcPr>
            <w:tcW w:type="dxa" w:w="3249"/>
          </w:tcPr>
          <w:p>
            <w:r>
              <w:t>las dos ramas con sus porcentajes</w:t>
            </w:r>
          </w:p>
        </w:tc>
        <w:tc>
          <w:tcPr>
            <w:tcW w:type="dxa" w:w="3249"/>
          </w:tcPr>
          <w:p>
            <w:r>
              <w:t>python manage.py demo_sugerencias</w:t>
            </w:r>
          </w:p>
        </w:tc>
      </w:tr>
      <w:tr>
        <w:tc>
          <w:tcPr>
            <w:tcW w:type="dxa" w:w="3249"/>
          </w:tcPr>
          <w:p>
            <w:r>
              <w:t>Nivel 4: el agente encadena, con traza</w:t>
            </w:r>
          </w:p>
        </w:tc>
        <w:tc>
          <w:tcPr>
            <w:tcW w:type="dxa" w:w="3249"/>
          </w:tcPr>
          <w:p>
            <w:r>
              <w:t>pensamiento → acción → observación + tokens</w:t>
            </w:r>
          </w:p>
        </w:tc>
        <w:tc>
          <w:tcPr>
            <w:tcW w:type="dxa" w:w="3249"/>
          </w:tcPr>
          <w:p>
            <w:r>
              <w:t>python manage.py demo_agente</w:t>
            </w:r>
          </w:p>
        </w:tc>
      </w:tr>
      <w:tr>
        <w:tc>
          <w:tcPr>
            <w:tcW w:type="dxa" w:w="3249"/>
          </w:tcPr>
          <w:p>
            <w:r>
              <w:t>Servidor MCP con 6 herramientas</w:t>
            </w:r>
          </w:p>
        </w:tc>
        <w:tc>
          <w:tcPr>
            <w:tcW w:type="dxa" w:w="3249"/>
          </w:tcPr>
          <w:p>
            <w:r>
              <w:t>publica por stdio, JSON-RPC 2.0</w:t>
            </w:r>
          </w:p>
        </w:tc>
        <w:tc>
          <w:tcPr>
            <w:tcW w:type="dxa" w:w="3249"/>
          </w:tcPr>
          <w:p>
            <w:r>
              <w:t>python servidor_mcp.py</w:t>
            </w:r>
          </w:p>
        </w:tc>
      </w:tr>
      <w:tr>
        <w:tc>
          <w:tcPr>
            <w:tcW w:type="dxa" w:w="3249"/>
          </w:tcPr>
          <w:p>
            <w:r>
              <w:t>Cliente que descubre sin importar nada</w:t>
            </w:r>
          </w:p>
        </w:tc>
        <w:tc>
          <w:tcPr>
            <w:tcW w:type="dxa" w:w="3249"/>
          </w:tcPr>
          <w:p>
            <w:r>
              <w:t>tools/list puro, sin Django</w:t>
            </w:r>
          </w:p>
        </w:tc>
        <w:tc>
          <w:tcPr>
            <w:tcW w:type="dxa" w:w="3249"/>
          </w:tcPr>
          <w:p>
            <w:r>
              <w:t>python cliente_mcp.py</w:t>
            </w:r>
          </w:p>
        </w:tc>
      </w:tr>
      <w:tr>
        <w:tc>
          <w:tcPr>
            <w:tcW w:type="dxa" w:w="3249"/>
          </w:tcPr>
          <w:p>
            <w:r>
              <w:t>Nivel 5: memoria frente a sin memoria</w:t>
            </w:r>
          </w:p>
        </w:tc>
        <w:tc>
          <w:tcPr>
            <w:tcW w:type="dxa" w:w="3249"/>
          </w:tcPr>
          <w:p>
            <w:r>
              <w:t>0/8 contra 4/8, desglosado por grupo</w:t>
            </w:r>
          </w:p>
        </w:tc>
        <w:tc>
          <w:tcPr>
            <w:tcW w:type="dxa" w:w="3249"/>
          </w:tcPr>
          <w:p>
            <w:r>
              <w:t>python manage.py eval_memoria</w:t>
            </w:r>
          </w:p>
        </w:tc>
      </w:tr>
      <w:tr>
        <w:tc>
          <w:tcPr>
            <w:tcW w:type="dxa" w:w="3249"/>
          </w:tcPr>
          <w:p>
            <w:r>
              <w:t>El enrutador acierta 44/56</w:t>
            </w:r>
          </w:p>
        </w:tc>
        <w:tc>
          <w:tcPr>
            <w:tcW w:type="dxa" w:w="3249"/>
          </w:tcPr>
          <w:p>
            <w:r>
              <w:t>banco de 56 preguntas etiquetadas</w:t>
            </w:r>
          </w:p>
        </w:tc>
        <w:tc>
          <w:tcPr>
            <w:tcW w:type="dxa" w:w="3249"/>
          </w:tcPr>
          <w:p>
            <w:r>
              <w:t>python manage.py eval_enrutado</w:t>
            </w:r>
          </w:p>
        </w:tc>
      </w:tr>
      <w:tr>
        <w:tc>
          <w:tcPr>
            <w:tcW w:type="dxa" w:w="3249"/>
          </w:tcPr>
          <w:p>
            <w:r>
              <w:t>El RAG acierta 16/18</w:t>
            </w:r>
          </w:p>
        </w:tc>
        <w:tc>
          <w:tcPr>
            <w:tcW w:type="dxa" w:w="3249"/>
          </w:tcPr>
          <w:p>
            <w:r>
              <w:t>cadena completa con el juez</w:t>
            </w:r>
          </w:p>
        </w:tc>
        <w:tc>
          <w:tcPr>
            <w:tcW w:type="dxa" w:w="3249"/>
          </w:tcPr>
          <w:p>
            <w:r>
              <w:t>python manage.py eval_rag --con-juez</w:t>
            </w:r>
          </w:p>
        </w:tc>
      </w:tr>
      <w:tr>
        <w:tc>
          <w:tcPr>
            <w:tcW w:type="dxa" w:w="3249"/>
          </w:tcPr>
          <w:p>
            <w:r>
              <w:t>El flujo clínico completo</w:t>
            </w:r>
          </w:p>
        </w:tc>
        <w:tc>
          <w:tcPr>
            <w:tcW w:type="dxa" w:w="3249"/>
          </w:tcPr>
          <w:p>
            <w:r>
              <w:t>metafase real → ISCN → narrativa, 7 etapas</w:t>
            </w:r>
          </w:p>
        </w:tc>
        <w:tc>
          <w:tcPr>
            <w:tcW w:type="dxa" w:w="3249"/>
          </w:tcPr>
          <w:p>
            <w:r>
              <w:t>python manage.py demo_flujo_clinico</w:t>
            </w:r>
          </w:p>
        </w:tc>
      </w:tr>
      <w:tr>
        <w:tc>
          <w:tcPr>
            <w:tcW w:type="dxa" w:w="3249"/>
          </w:tcPr>
          <w:p>
            <w:r>
              <w:t>Coste de corrección: 64 vs 46 a mano</w:t>
            </w:r>
          </w:p>
        </w:tc>
        <w:tc>
          <w:tcPr>
            <w:tcW w:type="dxa" w:w="3249"/>
          </w:tcPr>
          <w:p>
            <w:r>
              <w:t>20 casos contra el cariograma del experto</w:t>
            </w:r>
          </w:p>
        </w:tc>
        <w:tc>
          <w:tcPr>
            <w:tcW w:type="dxa" w:w="3249"/>
          </w:tcPr>
          <w:p>
            <w:r>
              <w:t>python training/eval_correccion.py</w:t>
            </w:r>
          </w:p>
        </w:tc>
      </w:tr>
      <w:tr>
        <w:tc>
          <w:tcPr>
            <w:tcW w:type="dxa" w:w="3249"/>
          </w:tcPr>
          <w:p>
            <w:r>
              <w:t>596 pruebas verdes, 84,87% cobertura</w:t>
            </w:r>
          </w:p>
        </w:tc>
        <w:tc>
          <w:tcPr>
            <w:tcW w:type="dxa" w:w="3249"/>
          </w:tcPr>
          <w:p>
            <w:r>
              <w:t>suite completa</w:t>
            </w:r>
          </w:p>
        </w:tc>
        <w:tc>
          <w:tcPr>
            <w:tcW w:type="dxa" w:w="3249"/>
          </w:tcPr>
          <w:p>
            <w:r>
              <w:t>pytest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1F3455"/>
          <w:sz w:val="21"/>
        </w:rPr>
        <w:t>&gt;&gt;&gt; PEGAR AQUI las capturas anotadas: visor con los 42 naranjas, traza del agente, salida de demo_sugerencias &lt;&lt;&lt;</w:t>
      </w:r>
      <w:r>
        <w:rPr>
          <w:i/>
          <w:color w:val="6B7280"/>
          <w:sz w:val="18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Las salidas de terminal de cada comando de la tabla anterior sirven como evidencia reproducible. Salida real del flujo clínico completo (python manage.py demo_flujo_clinico, 19/08/2026):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ETAPA 1 — La IA analiza una metafase real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 xml:space="preserve">    tiempo: 26.7 s | modelo: opencv-watershed-v0+efficientnet-b3-metaclass-v3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 xml:space="preserve">    cromosomas detectados: 48 (lo normal son 46) | confianza media: 0.548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ETAPA 2 — La semaforización decide que NO puede avanzar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 xml:space="preserve">    verdes: 4 | naranjas: 44 (bloquean el informe)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ETAPA 6 — La nomenclatura ISCN la calcula CÓDIGO, no el modelo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 xml:space="preserve">    ISCN emitido: 47,XY,+21 — lo genera generate_iscn(), función determinista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Validación contra la realidad del laboratorio: el motor ISCN se contrastó con 231 informes clínicos reales del archivo. Acepta 45 de 51 nomenclaturas distintas. De los 6 rechazos, 4 son erratas de transcripción en informes ya emitidos (falta la coma en «47,XY+21[20]») y 2 son notación que aún no soporta: el marcador +m y el separador «;».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320" w:after="100"/>
        <w:pBdr>
          <w:bottom w:val="single" w:sz="6" w:space="3" w:color="D9CBB0"/>
        </w:pBdr>
      </w:pPr>
      <w:r>
        <w:rPr>
          <w:rFonts w:ascii="Cambria" w:hAnsi="Cambria"/>
          <w:b/>
          <w:color w:val="1F3455"/>
          <w:sz w:val="28"/>
        </w:rPr>
        <w:t>8 · Conclusiones y trabajo futuro</w:t>
      </w:r>
    </w:p>
    <w:p>
      <w:pPr>
        <w:spacing w:before="160" w:after="40"/>
      </w:pPr>
      <w:r>
        <w:rPr>
          <w:b/>
          <w:color w:val="1F3455"/>
          <w:sz w:val="21"/>
        </w:rPr>
        <w:t>Qué funciona hoy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El flujo completo, verificado de punta a punta con metafases reales: registro de la muestra, segmentación, clasificación, semaforización, corrección manual con explicabilidad, validación del analista, auditoría del 5%, firma con MFA, nomenclatura ISCN y narrativa clínica.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Los seis niveles de la escalera están implementados y cada uno tiene un comando que lo demuestra. 596 pruebas automatizadas en verde.</w:t>
            </w:r>
          </w:p>
        </w:tc>
      </w:tr>
    </w:tbl>
    <w:p>
      <w:pPr>
        <w:spacing w:after="0"/>
      </w:pPr>
    </w:p>
    <w:p>
      <w:pPr>
        <w:spacing w:before="160" w:after="40"/>
      </w:pPr>
      <w:r>
        <w:rPr>
          <w:b/>
          <w:color w:val="1F3455"/>
          <w:sz w:val="21"/>
        </w:rPr>
        <w:t>Qué NO funciona todavía, y por qué</w:t>
      </w:r>
      <w:r>
        <w:rPr>
          <w:i/>
          <w:color w:val="6B7280"/>
          <w:sz w:val="18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El sistema cuesta más trabajo del que ahorra. Medido contra el cariograma del experto sobre 20 casos: mediana de 64 acciones de corrección frente a 46 de hacerlo a mano. En 20 de 20 casos, la IA cuesta más.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Y la medición corrigió un diagnóstico que se daba por cerrado: se asumía que el cuello de botella era la segmentación, pero la estructura son 4 de esas 64 acciones (6%). El grueso está en resolver naranjas (34), que nace del umbral y de la obligación de consultar la explicabilidad antes de aceptar.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No se analizan 20 metafases por caso. El laboratorio sí, y por eso su informe dice «47,XY,+21[20]». Aquí Karyotype es uno-a-uno con Sample: se analiza la primera imagen. Es lo que separa esto de un informe clínico emitible.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La segmentación no es U-Net. Es OpenCV con watershed, declarado sin ambigüedad en la cadena de versión que emite el servicio.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El pipeline corre síncrono: una metafase pesada bloquea el hilo de la petición.</w:t>
            </w:r>
          </w:p>
        </w:tc>
      </w:tr>
    </w:tbl>
    <w:p>
      <w:pPr>
        <w:spacing w:after="0"/>
      </w:pPr>
    </w:p>
    <w:p>
      <w:pPr>
        <w:spacing w:before="160" w:after="40"/>
      </w:pPr>
      <w:r>
        <w:rPr>
          <w:b/>
          <w:color w:val="1F3455"/>
          <w:sz w:val="21"/>
        </w:rPr>
        <w:t>Qué aprendieron que no esperaban</w:t>
      </w:r>
      <w:r>
        <w:rPr>
          <w:i/>
          <w:color w:val="6B7280"/>
          <w:sz w:val="18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El instrumento falla antes que el sistema medido. Cinco veces la primera medición fue inválida por un defecto del medidor, no del sistema: un prompt que hacía al juez PEOR que no tenerlo (39% frente a 56%), un ground truth donde solo el 43% de los casos era plausible, un timeout que borraba la corrida entera, testigos de un solo dígito que inflaban el resultado por los dos lados, y un modelo que volcaba la observación cruda y pasaba por acierto.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De ahí salió una regla: el número es lo último en lo que hay que creer. Antes de interpretarlo hay que mirar caso por caso si los aciertos son aciertos.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Y un corolario que costó una conclusión falsa: si se puede correr el A/B, no razonar sobre el diff. Un análisis a ojo dijo que había cuatro regresiones en el enrutador; reproducir el estado anterior en un worktree de git demostró que la regresión real eran dos.</w:t>
            </w:r>
          </w:p>
        </w:tc>
      </w:tr>
    </w:tbl>
    <w:p>
      <w:pPr>
        <w:spacing w:after="0"/>
      </w:pPr>
    </w:p>
    <w:p>
      <w:pPr>
        <w:spacing w:before="160" w:after="40"/>
      </w:pPr>
      <w:r>
        <w:rPr>
          <w:b/>
          <w:color w:val="1F3455"/>
          <w:sz w:val="21"/>
        </w:rPr>
        <w:t>Trabajo futuro</w:t>
      </w:r>
      <w:r>
        <w:rPr>
          <w:i/>
          <w:color w:val="6B7280"/>
          <w:sz w:val="18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FAFBFD"/>
          </w:tcPr>
          <w:p>
            <w:pPr>
              <w:spacing w:after="40"/>
            </w:pPr>
            <w:r>
              <w:rPr>
                <w:color w:val="B0B6C0"/>
                <w:sz w:val="20"/>
              </w:rPr>
              <w:t>1. Resolución de naranjas en bloque: recorta unas 30 de las 64 acciones SIN tocar ningún modelo. Es la palanca más barata y ataca la mitad del coste medido.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2. Caso multi-metafase con consenso: es lo que produce el «[20]» del informe real y lo que convierte esto en un documento clínico emitible.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3. Detector con U-Net o YOLO: el dataset ya permite generar metafases sintéticas con máscaras exactas a partir de los 50.864 recortes reales, lo que convierte un problema de etiquetado en uno de cómputo.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4. Celery, para que la inferencia deje de bloquear la petición.</w:t>
            </w:r>
          </w:p>
          <w:p>
            <w:pPr>
              <w:spacing w:after="40"/>
            </w:pPr>
            <w:r>
              <w:rPr>
                <w:color w:val="B0B6C0"/>
                <w:sz w:val="20"/>
              </w:rPr>
              <w:t>5. Estimación de solapamientos (ADR-0026, ya decidido): el software comercial del sector la expone como métrica; permite descartar una metafase antes de invertir tiempo en ella.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6"/>
      </w:rPr>
      <w:t>Módulo 6 — Integración de IA en Productos de Software · FCYT–UMSS ·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512000" cy="25991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postgrado fcy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12000" cy="259919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color w:val="2A2A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