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Tool calling — resumen de una página</w:t>
      </w:r>
    </w:p>
    <w:p>
      <w:r>
        <w:rPr>
          <w:b/>
        </w:rPr>
        <w:t>BIOMED UMSS · Plataforma de Cariotipado Inteligente</w:t>
      </w:r>
      <w:r>
        <w:t xml:space="preserve"> — Ing. Guillermo Mamani Chambi (individual)</w:t>
      </w:r>
    </w:p>
    <w:p>
      <w:r>
        <w:t xml:space="preserve">Repositorio: </w:t>
      </w:r>
      <w:r>
        <w:rPr>
          <w:rFonts w:ascii="Consolas" w:hAnsi="Consolas"/>
          <w:sz w:val="19"/>
        </w:rPr>
        <w:t>https://github.com/guillemc92/karyoumss</w:t>
      </w:r>
      <w:r>
        <w:t xml:space="preserve"> · Rama: </w:t>
      </w:r>
      <w:r>
        <w:rPr>
          <w:b/>
        </w:rPr>
        <w:t>`feature/clinic-django-stack`</w:t>
      </w:r>
    </w:p>
    <w:p/>
    <w:p>
      <w:pPr>
        <w:pStyle w:val="Heading2"/>
      </w:pPr>
      <w:r>
        <w:t>Herramientas publicadas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Fuente (tabla)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CROMOSOMAS_PARA_REVISION</w:t>
            </w:r>
          </w:p>
        </w:tc>
        <w:tc>
          <w:tcPr>
            <w:tcW w:type="dxa" w:w="2880"/>
          </w:tcPr>
          <w:p>
            <w:r/>
            <w:r>
              <w:t>Cromosomas naranjas: confianza &lt; 85% sin resolver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clinic_chromosomes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CASOS_PENDIENTES_FIRMA</w:t>
            </w:r>
          </w:p>
        </w:tc>
        <w:tc>
          <w:tcPr>
            <w:tcW w:type="dxa" w:w="2880"/>
          </w:tcPr>
          <w:p>
            <w:r/>
            <w:r>
              <w:t>Casos validados esperando la firma del Supervisor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clinic_samples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CASOS_REPORTADOS</w:t>
            </w:r>
          </w:p>
        </w:tc>
        <w:tc>
          <w:tcPr>
            <w:tcW w:type="dxa" w:w="2880"/>
          </w:tcPr>
          <w:p>
            <w:r/>
            <w:r>
              <w:t>Casos cerrados con nomenclatura ISCN emitida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clinic_samples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CASOS_EN_PROCESO</w:t>
            </w:r>
          </w:p>
        </w:tc>
        <w:tc>
          <w:tcPr>
            <w:tcW w:type="dxa" w:w="2880"/>
          </w:tcPr>
          <w:p>
            <w:r/>
            <w:r>
              <w:t>Muestras que el pipeline de IA todavía procesa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clinic_samples</w:t>
            </w:r>
          </w:p>
        </w:tc>
      </w:tr>
    </w:tbl>
    <w:p/>
    <w:p>
      <w:r>
        <w:t xml:space="preserve">Cada respuesta declara en pantalla </w:t>
      </w:r>
      <w:r>
        <w:rPr>
          <w:rFonts w:ascii="Consolas" w:hAnsi="Consolas"/>
          <w:sz w:val="19"/>
        </w:rPr>
        <w:t>camino</w:t>
      </w:r>
      <w:r>
        <w:t xml:space="preserve">, </w:t>
      </w:r>
      <w:r>
        <w:rPr>
          <w:rFonts w:ascii="Consolas" w:hAnsi="Consolas"/>
          <w:sz w:val="19"/>
        </w:rPr>
        <w:t>tool</w:t>
      </w:r>
      <w:r>
        <w:t xml:space="preserve"> y </w:t>
      </w:r>
      <w:r>
        <w:rPr>
          <w:rFonts w:ascii="Consolas" w:hAnsi="Consolas"/>
          <w:sz w:val="19"/>
        </w:rPr>
        <w:t>source</w:t>
      </w:r>
      <w:r>
        <w:t>. Sin procedencia, un</w:t>
      </w:r>
    </w:p>
    <w:p>
      <w:r>
        <w:t>usuario no puede distinguir un dato consultado de uno inventado.</w:t>
      </w:r>
    </w:p>
    <w:p>
      <w:pPr>
        <w:pStyle w:val="Heading2"/>
      </w:pPr>
      <w:r>
        <w:t>Modelo y versión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Modelo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`llama3.2:3b`</w:t>
            </w:r>
            <w:r>
              <w:t xml:space="preserve"> — versión fija en el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, </w:t>
            </w:r>
            <w:r>
              <w:rPr>
                <w:b/>
              </w:rPr>
              <w:t>nunca `latest`</w:t>
            </w:r>
          </w:p>
        </w:tc>
      </w:tr>
      <w:tr>
        <w:tc>
          <w:tcPr>
            <w:tcW w:type="dxa" w:w="4320"/>
          </w:tcPr>
          <w:p>
            <w:r/>
            <w:r>
              <w:t>Proveedor</w:t>
            </w:r>
          </w:p>
        </w:tc>
        <w:tc>
          <w:tcPr>
            <w:tcW w:type="dxa" w:w="4320"/>
          </w:tcPr>
          <w:p>
            <w:r/>
            <w:r>
              <w:t xml:space="preserve">Ollama local, </w:t>
            </w:r>
            <w:r>
              <w:rPr>
                <w:rFonts w:ascii="Consolas" w:hAnsi="Consolas"/>
                <w:sz w:val="19"/>
              </w:rPr>
              <w:t>http://localhost:11434/v1</w:t>
            </w:r>
            <w:r>
              <w:t xml:space="preserve"> (SDK de OpenAI)</w:t>
            </w:r>
          </w:p>
        </w:tc>
      </w:tr>
      <w:tr>
        <w:tc>
          <w:tcPr>
            <w:tcW w:type="dxa" w:w="4320"/>
          </w:tcPr>
          <w:p>
            <w:r/>
            <w:r>
              <w:t>Parámetros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temperature=0.0</w:t>
            </w:r>
            <w:r>
              <w:t xml:space="preserve"> (enrutar es determinista), </w:t>
            </w:r>
            <w:r>
              <w:rPr>
                <w:rFonts w:ascii="Consolas" w:hAnsi="Consolas"/>
                <w:sz w:val="19"/>
              </w:rPr>
              <w:t>max_tokens=200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response_format</w:t>
            </w:r>
            <w:r>
              <w:t xml:space="preserve"> con enum de nombres válidos</w:t>
            </w:r>
          </w:p>
        </w:tc>
      </w:tr>
      <w:tr>
        <w:tc>
          <w:tcPr>
            <w:tcW w:type="dxa" w:w="4320"/>
          </w:tcPr>
          <w:p>
            <w:r/>
            <w:r>
              <w:t>Interruptor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CLINIC_LLM_ENABLED</w:t>
            </w:r>
            <w:r>
              <w:t xml:space="preserve"> en </w:t>
            </w:r>
            <w:r>
              <w:rPr>
                <w:rFonts w:ascii="Consolas" w:hAnsi="Consolas"/>
                <w:sz w:val="19"/>
              </w:rPr>
              <w:t>backend-clinic/.env</w:t>
            </w:r>
          </w:p>
        </w:tc>
      </w:tr>
    </w:tbl>
    <w:p/>
    <w:p>
      <w:r>
        <w:t xml:space="preserve">La versión se fija porque </w:t>
      </w:r>
      <w:r>
        <w:rPr>
          <w:rFonts w:ascii="Consolas" w:hAnsi="Consolas"/>
          <w:sz w:val="19"/>
        </w:rPr>
        <w:t>latest</w:t>
      </w:r>
      <w:r>
        <w:t xml:space="preserve"> cambia el modelo bajo los pies: el enrutamiento</w:t>
      </w:r>
    </w:p>
    <w:p>
      <w:r>
        <w:t>dejaría de ser reproducible y los cuatro escenarios no serían verificables dos veces.</w:t>
      </w:r>
    </w:p>
    <w:p>
      <w:pPr>
        <w:pStyle w:val="Heading2"/>
      </w:pPr>
      <w:r>
        <w:t>Qué no funcionó</w:t>
      </w:r>
    </w:p>
    <w:p>
      <w:r>
        <w:rPr>
          <w:b/>
        </w:rPr>
        <w:t>El modelo elegía una herramienta en 4 de cada 6 preguntas fuera de alcance.</w:t>
      </w:r>
    </w:p>
    <w:p>
      <w:r>
        <w:t>Es el fallo más grave que apareció, y los cuatro escenarios no lo detectaban: la</w:t>
      </w:r>
    </w:p>
    <w:p>
      <w:r>
        <w:t>pregunta del escenario 3 resultó ser una de las dos que sí acertaba. Se encontró</w:t>
      </w:r>
    </w:p>
    <w:p>
      <w:r>
        <w:t>midiendo con un banco de 30 preguntas etiquetadas (</w:t>
      </w:r>
      <w:r>
        <w:rPr>
          <w:rFonts w:ascii="Consolas" w:hAnsi="Consolas"/>
          <w:sz w:val="19"/>
        </w:rPr>
        <w:t>manage.py eval_enrutado</w:t>
      </w:r>
      <w:r>
        <w:t>),</w:t>
      </w:r>
    </w:p>
    <w:p>
      <w:r>
        <w:t>no ejecutando la demo.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Banco de 30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Inicial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Prompt endurecido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Descripciones equilibradas</w:t>
            </w:r>
          </w:p>
        </w:tc>
      </w:tr>
      <w:tr>
        <w:tc>
          <w:tcPr>
            <w:tcW w:type="dxa" w:w="2160"/>
          </w:tcPr>
          <w:p>
            <w:r/>
            <w:r>
              <w:t>Fuera de alcance</w:t>
            </w:r>
          </w:p>
        </w:tc>
        <w:tc>
          <w:tcPr>
            <w:tcW w:type="dxa" w:w="2160"/>
          </w:tcPr>
          <w:p>
            <w:r/>
            <w:r>
              <w:t xml:space="preserve">2/6 — </w:t>
            </w:r>
            <w:r>
              <w:rPr>
                <w:b/>
              </w:rPr>
              <w:t>33%</w:t>
            </w:r>
          </w:p>
        </w:tc>
        <w:tc>
          <w:tcPr>
            <w:tcW w:type="dxa" w:w="2160"/>
          </w:tcPr>
          <w:p>
            <w:r/>
            <w:r>
              <w:t>6/6 — 100%</w:t>
            </w:r>
          </w:p>
        </w:tc>
        <w:tc>
          <w:tcPr>
            <w:tcW w:type="dxa" w:w="2160"/>
          </w:tcPr>
          <w:p>
            <w:r/>
            <w:r>
              <w:t>6/6 — 100%</w:t>
            </w:r>
          </w:p>
        </w:tc>
      </w:tr>
      <w:tr>
        <w:tc>
          <w:tcPr>
            <w:tcW w:type="dxa" w:w="2160"/>
          </w:tcPr>
          <w:p>
            <w:r/>
            <w:r>
              <w:t>Dentro de alcance</w:t>
            </w:r>
          </w:p>
        </w:tc>
        <w:tc>
          <w:tcPr>
            <w:tcW w:type="dxa" w:w="2160"/>
          </w:tcPr>
          <w:p>
            <w:r/>
            <w:r>
              <w:t>22/24 — 92%</w:t>
            </w:r>
          </w:p>
        </w:tc>
        <w:tc>
          <w:tcPr>
            <w:tcW w:type="dxa" w:w="2160"/>
          </w:tcPr>
          <w:p>
            <w:r/>
            <w:r>
              <w:t>21/24 — 88%</w:t>
            </w:r>
          </w:p>
        </w:tc>
        <w:tc>
          <w:tcPr>
            <w:tcW w:type="dxa" w:w="2160"/>
          </w:tcPr>
          <w:p>
            <w:r/>
            <w:r>
              <w:t>23/24 — 96%</w:t>
            </w:r>
          </w:p>
        </w:tc>
      </w:tr>
      <w:tr>
        <w:tc>
          <w:tcPr>
            <w:tcW w:type="dxa" w:w="2160"/>
          </w:tcPr>
          <w:p>
            <w:r/>
            <w:r>
              <w:t>Global</w:t>
            </w:r>
          </w:p>
        </w:tc>
        <w:tc>
          <w:tcPr>
            <w:tcW w:type="dxa" w:w="2160"/>
          </w:tcPr>
          <w:p>
            <w:r/>
            <w:r>
              <w:t>24/30 — 80%</w:t>
            </w:r>
          </w:p>
        </w:tc>
        <w:tc>
          <w:tcPr>
            <w:tcW w:type="dxa" w:w="2160"/>
          </w:tcPr>
          <w:p>
            <w:r/>
            <w:r>
              <w:t>27/30 — 90%</w:t>
            </w:r>
          </w:p>
        </w:tc>
        <w:tc>
          <w:tcPr>
            <w:tcW w:type="dxa" w:w="2160"/>
          </w:tcPr>
          <w:p>
            <w:r/>
            <w:r>
              <w:t xml:space="preserve">29/30 — </w:t>
            </w:r>
            <w:r>
              <w:rPr>
                <w:b/>
              </w:rPr>
              <w:t>97%</w:t>
            </w:r>
          </w:p>
        </w:tc>
      </w:tr>
    </w:tbl>
    <w:p/>
    <w:p>
      <w:r>
        <w:rPr>
          <w:b/>
        </w:rPr>
        <w:t>Ese 97% no era real.</w:t>
      </w:r>
      <w:r>
        <w:t xml:space="preserve"> Las 6 preguntas fuera de alcance del banco pequeño no</w:t>
      </w:r>
    </w:p>
    <w:p>
      <w:r>
        <w:t>compartían ni una palabra con el catálogo, así que abstenerse era fácil. Con 56</w:t>
      </w:r>
    </w:p>
    <w:p>
      <w:r>
        <w:t>preguntas —18 fuera de alcance, 6 de ellas escritas con el vocabulario del propio</w:t>
      </w:r>
    </w:p>
    <w:p>
      <w:r>
        <w:t xml:space="preserve">dominio— el resultado cayó a </w:t>
      </w:r>
      <w:r>
        <w:rPr>
          <w:b/>
        </w:rPr>
        <w:t>45/56 (80%), con la abstención en 11/18 (61%)</w:t>
      </w:r>
      <w:r>
        <w:t>.</w:t>
      </w:r>
    </w:p>
    <w:p>
      <w:r>
        <w:t>Las preguntas sobre los conceptos que las herramientas manipulan («¿quién tiene</w:t>
      </w:r>
    </w:p>
    <w:p>
      <w:r>
        <w:t>permiso para firmar?», «¿qué umbral deberíamos usar?») acaban en la herramienta</w:t>
      </w:r>
    </w:p>
    <w:p>
      <w:r>
        <w:t>dueña del concepto.</w:t>
      </w:r>
    </w:p>
    <w:p>
      <w:r>
        <w:rPr>
          <w:b/>
        </w:rPr>
        <w:t>Causa 1:</w:t>
      </w:r>
      <w:r>
        <w:t xml:space="preserve"> la regla de abstención era una línea suelta, sin ejemplos. El modelo</w:t>
      </w:r>
    </w:p>
    <w:p>
      <w:r>
        <w:t>enrutaba por parecido temático — «¿quién es el jefe del servicio?» iba a</w:t>
      </w:r>
    </w:p>
    <w:p>
      <w:r>
        <w:rPr>
          <w:rFonts w:ascii="Consolas" w:hAnsi="Consolas"/>
          <w:sz w:val="19"/>
        </w:rPr>
        <w:t>CASOS_PENDIENTES_FIRMA</w:t>
      </w:r>
      <w:r>
        <w:t>. Se corrigió enumerando lo que ninguna herramienta cubre</w:t>
      </w:r>
    </w:p>
    <w:p>
      <w:r>
        <w:t>e invirtiendo la prioridad: elegir mal es peor que abstenerse. Costó una pregunta</w:t>
      </w:r>
    </w:p>
    <w:p>
      <w:r>
        <w:t>válida (92% → 88%), un intercambio real que no se esconde.</w:t>
      </w:r>
    </w:p>
    <w:p>
      <w:r>
        <w:rPr>
          <w:b/>
        </w:rPr>
        <w:t>Causa 2:</w:t>
      </w:r>
      <w:r>
        <w:t xml:space="preserve"> tras eso, los 3 fallos restantes caían todos en la misma</w:t>
      </w:r>
    </w:p>
    <w:p>
      <w:r>
        <w:t>herramienta. No porque las otras estuvieran mal definidas, sino porque esa</w:t>
      </w:r>
    </w:p>
    <w:p>
      <w:r>
        <w:t xml:space="preserve">descripción estaba </w:t>
      </w:r>
      <w:r>
        <w:rPr>
          <w:b/>
        </w:rPr>
        <w:t>mejor escrita</w:t>
      </w:r>
      <w:r>
        <w:t xml:space="preserve"> que las demás: cuatro líneas frente a dos.</w:t>
      </w:r>
    </w:p>
    <w:p>
      <w:r>
        <w:t>El modelo se iba a la que mejor entendía. Se equilibraron las cuatro, cada una</w:t>
      </w:r>
    </w:p>
    <w:p>
      <w:r>
        <w:t>declarando su etapa del flujo y su frontera, con el vocabulario real de los</w:t>
      </w:r>
    </w:p>
    <w:p>
      <w:r>
        <w:t>usuarios («máquina», «corriendo», «trabajando») que no aparecía en ninguna.</w:t>
      </w:r>
    </w:p>
    <w:p>
      <w:r>
        <w:t>Eso recuperó el terreno perdido y lo superó: **96% dentro de alcance sin perder</w:t>
      </w:r>
    </w:p>
    <w:p>
      <w:r>
        <w:t>el 100% de abstención**.</w:t>
      </w:r>
    </w:p>
    <w:p>
      <w:r>
        <w:t>El único fallo restante es de etiqueta discutible («¿qué está listo para la</w:t>
      </w:r>
    </w:p>
    <w:p>
      <w:r>
        <w:t>última revisión?» admite dos lecturas) y se deja en el banco a propósito.</w:t>
      </w:r>
    </w:p>
    <w:p>
      <w:r>
        <w:rPr>
          <w:b/>
        </w:rPr>
        <w:t>El camino rápido tiene dos puntos ciegos estructurales.</w:t>
      </w:r>
      <w:r>
        <w:t xml:space="preserve"> La coincidencia</w:t>
      </w:r>
    </w:p>
    <w:p>
      <w:r>
        <w:t>literal no sabe abstenerse —«¿qué significa que un cromosoma esté naranja?»</w:t>
      </w:r>
    </w:p>
    <w:p>
      <w:r>
        <w:t>contiene «naranja» y devolvía la lista a una pregunta de documentación— ni ve la</w:t>
      </w:r>
    </w:p>
    <w:p>
      <w:r>
        <w:t>negación: «¿validados pero NO cerrados?» disparaba con «cerrados» y devolvía lo</w:t>
      </w:r>
    </w:p>
    <w:p>
      <w:r>
        <w:t>contrario. Ninguna llegaba al modelo. Corregido haciendo que el atajo ceda al</w:t>
      </w:r>
    </w:p>
    <w:p>
      <w:r>
        <w:t>modelo ante preguntas explicativas o negadas.</w:t>
      </w:r>
    </w:p>
    <w:p>
      <w:r>
        <w:rPr>
          <w:b/>
        </w:rPr>
        <w:t>La respuesta truncaba en silencio:</w:t>
      </w:r>
      <w:r>
        <w:t xml:space="preserve"> mostraba 50 de 100 cromosomas naranjas</w:t>
      </w:r>
    </w:p>
    <w:p>
      <w:r>
        <w:t>diciendo «50 resultado(s)». La respuesta significa «estos son los cromosomas que</w:t>
      </w:r>
    </w:p>
    <w:p>
      <w:r>
        <w:t>hay que revisar»: un analista creería haber visto toda su cola faltándole la</w:t>
      </w:r>
    </w:p>
    <w:p>
      <w:r>
        <w:t>mitad. Corregido con un aviso explícito y tres tests. Apareció por consultar</w:t>
      </w:r>
    </w:p>
    <w:p>
      <w:r>
        <w:t>datos reales en vez de sembrados.</w:t>
      </w:r>
    </w:p>
    <w:p>
      <w:r>
        <w:rPr>
          <w:b/>
        </w:rPr>
        <w:t>Limitación metodológica declarada:</w:t>
      </w:r>
      <w:r>
        <w:t xml:space="preserve"> el número final sale de tres iteraciones</w:t>
      </w:r>
    </w:p>
    <w:p>
      <w:r>
        <w:t>de ajuste contra el mismo banco. Los arreglos atacan clases de fallo, no ejemplos</w:t>
      </w:r>
    </w:p>
    <w:p>
      <w:r>
        <w:t>concretos, pero la medida ya está contaminada. La prueba honesta sería un</w:t>
      </w:r>
    </w:p>
    <w:p>
      <w:r>
        <w:t>conjunto nuevo escrito sin mirar los fallos; queda pendiente.</w:t>
      </w:r>
    </w:p>
    <w:p>
      <w:r>
        <w:rPr>
          <w:b/>
        </w:rPr>
        <w:t>La latencia del camino LLM es inaceptable para uso interactivo: ~94 segundos</w:t>
      </w:r>
      <w:r>
        <w:t>,</w:t>
      </w:r>
    </w:p>
    <w:p>
      <w:r>
        <w:t>contra 7–34 ms del camino KEYWORD — tres órdenes de magnitud. Es el costo de un</w:t>
      </w:r>
    </w:p>
    <w:p>
      <w:r>
        <w:t>modelo de 3B en CPU sin GPU. La arquitectura de dos caminos existe justamente por</w:t>
      </w:r>
    </w:p>
    <w:p>
      <w:r>
        <w:t>esto: las preguntas frecuentes se resuelven con vocabulario y el modelo queda como</w:t>
      </w:r>
    </w:p>
    <w:p>
      <w:r>
        <w:t>red de seguridad para las que no.</w:t>
      </w:r>
    </w:p>
    <w:p>
      <w:r>
        <w:rPr>
          <w:b/>
        </w:rPr>
        <w:t>El modelo devuelve nombres que no están en el enum</w:t>
      </w:r>
      <w:r>
        <w:t>, pese a declarar</w:t>
      </w:r>
    </w:p>
    <w:p>
      <w:r>
        <w:rPr>
          <w:rFonts w:ascii="Consolas" w:hAnsi="Consolas"/>
          <w:sz w:val="19"/>
        </w:rPr>
        <w:t>strict: true</w:t>
      </w:r>
      <w:r>
        <w:t xml:space="preserve"> en el esquema. El enrutador verifica el nombre contra el catálogo</w:t>
      </w:r>
    </w:p>
    <w:p>
      <w:r>
        <w:t>antes de ejecutar, en vez de confiar en que el contrato se respetó. Está cubierto</w:t>
      </w:r>
    </w:p>
    <w:p>
      <w:r>
        <w:t>por un test.</w:t>
      </w:r>
    </w:p>
    <w:p>
      <w:r>
        <w:rPr>
          <w:b/>
        </w:rPr>
        <w:t>La degradación es tan limpia que esconde errores de configuración.</w:t>
      </w:r>
      <w:r>
        <w:t xml:space="preserve"> Al correr la</w:t>
      </w:r>
    </w:p>
    <w:p>
      <w:r>
        <w:t xml:space="preserve">demo con un intérprete sin el SDK de </w:t>
      </w:r>
      <w:r>
        <w:rPr>
          <w:rFonts w:ascii="Consolas" w:hAnsi="Consolas"/>
          <w:sz w:val="19"/>
        </w:rPr>
        <w:t>openai</w:t>
      </w:r>
      <w:r>
        <w:t xml:space="preserve"> instalado, el escenario 2 devolvió</w:t>
      </w:r>
    </w:p>
    <w:p>
      <w:r>
        <w:rPr>
          <w:rFonts w:ascii="Consolas" w:hAnsi="Consolas"/>
          <w:sz w:val="19"/>
        </w:rPr>
        <w:t>SIN_MATCH</w:t>
      </w:r>
      <w:r>
        <w:t xml:space="preserve"> con aspecto de comportamiento correcto; el único indicio era una línea</w:t>
      </w:r>
    </w:p>
    <w:p>
      <w:r>
        <w:t>de log. Un fallo de disponibilidad y una pregunta fuera de alcance se ven casi</w:t>
      </w:r>
    </w:p>
    <w:p>
      <w:r>
        <w:t>igual desde la pantalla. Convendría distinguirlos en la respuesta.</w:t>
      </w:r>
    </w:p>
    <w:p>
      <w:r>
        <w:rPr>
          <w:b/>
        </w:rPr>
        <w:t>La consola de Windows (cp1252) rompe con Unicode</w:t>
      </w:r>
      <w:r>
        <w:t xml:space="preserve"> — flechas, comillas angulares,</w:t>
      </w:r>
    </w:p>
    <w:p>
      <w:r>
        <w:t xml:space="preserve">guiones largos. La primera corrida falló con </w:t>
      </w:r>
      <w:r>
        <w:rPr>
          <w:rFonts w:ascii="Consolas" w:hAnsi="Consolas"/>
          <w:sz w:val="19"/>
        </w:rPr>
        <w:t>UnicodeEncodeError</w:t>
      </w:r>
      <w:r>
        <w:t>; se resolvió</w:t>
      </w:r>
    </w:p>
    <w:p>
      <w:r>
        <w:t>usando solo ASCII en la salida del comando.</w:t>
      </w:r>
    </w:p>
    <w:p>
      <w:r>
        <w:rPr>
          <w:b/>
        </w:rPr>
        <w:t>Los cromosomas naranjas del seed original ya estaban resueltos</w:t>
      </w:r>
      <w:r>
        <w:t>, así que la</w:t>
      </w:r>
    </w:p>
    <w:p>
      <w:r>
        <w:t>herramienta principal devolvía cero filas y la demo no probaba nada. Hubo que</w:t>
      </w:r>
    </w:p>
    <w:p>
      <w:r>
        <w:t>sembrar un caso específico (</w:t>
      </w:r>
      <w:r>
        <w:rPr>
          <w:rFonts w:ascii="Consolas" w:hAnsi="Consolas"/>
          <w:sz w:val="19"/>
        </w:rPr>
        <w:t>seed_demo_tools</w:t>
      </w:r>
      <w:r>
        <w:t>).</w:t>
      </w:r>
    </w:p>
    <w:p>
      <w:pPr>
        <w:pStyle w:val="Heading2"/>
      </w:pPr>
      <w:r>
        <w:t>Lo que aporta el modelo, medido</w:t>
      </w:r>
    </w:p>
    <w:p>
      <w:r>
        <w:t xml:space="preserve">Con </w:t>
      </w:r>
      <w:r>
        <w:rPr>
          <w:rFonts w:ascii="Consolas" w:hAnsi="Consolas"/>
          <w:sz w:val="19"/>
        </w:rPr>
        <w:t>CLINIC_LLM_ENABLED=false</w:t>
      </w:r>
      <w:r>
        <w:t>, el escenario 1 responde idéntico (7 ms) y el</w:t>
      </w:r>
    </w:p>
    <w:p>
      <w:r>
        <w:t>escenario 2 —el sinónimo— cae en «no sé». Esa diferencia, y solo esa, es la</w:t>
      </w:r>
    </w:p>
    <w:p>
      <w:r>
        <w:t xml:space="preserve">contribución del modelo: </w:t>
      </w:r>
      <w:r>
        <w:rPr>
          <w:b/>
        </w:rPr>
        <w:t>tolerancia a la paráfrasis, sin tocar los datos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