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7654"/>
          </w:tcPr>
          <w:p>
            <w:pPr>
              <w:spacing w:before="0" w:after="0"/>
            </w:pPr>
            <w:r>
              <w:rPr>
                <w:rFonts w:ascii="Calibri" w:hAnsi="Calibri"/>
                <w:b/>
                <w:color w:val="2C3E50"/>
                <w:sz w:val="40"/>
              </w:rPr>
              <w:t>Paula De Francisco Pérez</w:t>
            </w:r>
          </w:p>
          <w:p>
            <w:pPr>
              <w:spacing w:before="0" w:after="0"/>
            </w:pPr>
            <w:r>
              <w:rPr>
                <w:rFonts w:ascii="Calibri" w:hAnsi="Calibri"/>
                <w:b w:val="0"/>
                <w:color w:val="000000"/>
                <w:sz w:val="19"/>
              </w:rPr>
              <w:t>Influencer Marketing · Social Media · Strategic Partnerships · Quick-Commerce Growth</w:t>
            </w:r>
          </w:p>
          <w:p>
            <w:pPr>
              <w:spacing w:before="0" w:after="0"/>
            </w:pPr>
            <w:r>
              <w:rPr>
                <w:rFonts w:ascii="Calibri" w:hAnsi="Calibri"/>
                <w:b w:val="0"/>
                <w:color w:val="787878"/>
                <w:sz w:val="17"/>
              </w:rPr>
              <w:t>Dubai, UAE | +971 50 386 3656 | paulich98@hotmail.com</w:t>
            </w:r>
          </w:p>
          <w:p>
            <w:pPr>
              <w:spacing w:before="0" w:after="0"/>
            </w:pPr>
            <w:r>
              <w:rPr>
                <w:rFonts w:ascii="Calibri" w:hAnsi="Calibri"/>
                <w:b w:val="0"/>
                <w:color w:val="787878"/>
                <w:sz w:val="17"/>
              </w:rPr>
              <w:t>https://linkedin.com/in/paula-de-francisco-perez | Nationality: Spanish | UAE Residence Visa</w:t>
            </w:r>
          </w:p>
        </w:tc>
        <w:tc>
          <w:tcPr>
            <w:tcW w:type="dxa" w:w="1701"/>
          </w:tcPr>
          <w:p>
            <w:pPr>
              <w:jc w:val="right"/>
            </w:pPr>
            <w:r>
              <w:drawing>
                <wp:inline xmlns:a="http://schemas.openxmlformats.org/drawingml/2006/main" xmlns:pic="http://schemas.openxmlformats.org/drawingml/2006/picture">
                  <wp:extent cx="972000" cy="1290109"/>
                  <wp:docPr id="1" name="Picture 1"/>
                  <wp:cNvGraphicFramePr>
                    <a:graphicFrameLocks noChangeAspect="1"/>
                  </wp:cNvGraphicFramePr>
                  <a:graphic>
                    <a:graphicData uri="http://schemas.openxmlformats.org/drawingml/2006/picture">
                      <pic:pic>
                        <pic:nvPicPr>
                          <pic:cNvPr id="0" name="paula_photo.jpg"/>
                          <pic:cNvPicPr/>
                        </pic:nvPicPr>
                        <pic:blipFill>
                          <a:blip r:embed="rId9"/>
                          <a:stretch>
                            <a:fillRect/>
                          </a:stretch>
                        </pic:blipFill>
                        <pic:spPr>
                          <a:xfrm>
                            <a:off x="0" y="0"/>
                            <a:ext cx="972000" cy="1290109"/>
                          </a:xfrm>
                          <a:prstGeom prst="rect"/>
                        </pic:spPr>
                      </pic:pic>
                    </a:graphicData>
                  </a:graphic>
                </wp:inline>
              </w:drawing>
            </w:r>
          </w:p>
        </w:tc>
      </w:tr>
    </w:tbl>
    <w:p>
      <w:pPr>
        <w:spacing w:before="280" w:after="80"/>
      </w:pPr>
      <w:r>
        <w:rPr>
          <w:rFonts w:ascii="Calibri" w:hAnsi="Calibri"/>
          <w:b/>
          <w:color w:val="2C3E50"/>
          <w:sz w:val="22"/>
        </w:rPr>
        <w:t>PROFESSIONAL SUMMARY</w:t>
      </w:r>
    </w:p>
    <w:p>
      <w:pPr>
        <w:spacing w:before="120" w:after="120"/>
        <w:pBdr>
          <w:bottom w:val="single" w:sz="4" w:space="1" w:color="CCCCCC"/>
        </w:pBdr>
      </w:pPr>
    </w:p>
    <w:p>
      <w:pPr>
        <w:spacing w:before="0" w:after="80" w:line="280" w:lineRule="exact"/>
      </w:pPr>
      <w:r>
        <w:rPr>
          <w:rFonts w:ascii="Calibri" w:hAnsi="Calibri"/>
          <w:b w:val="0"/>
          <w:color w:val="1E1E1E"/>
          <w:sz w:val="20"/>
        </w:rPr>
        <w:t>Influencer, social and partnerships marketer with 4+ years driving creator-led growth across FMCG, Beauty and e-commerce — currently in Dubai. At DoFreeze I built the influencer programme from zero: end-to-end ownership of strategy, creator sourcing, briefing, negotiation, execution and reporting across mega, macro, micro and nano tiers, running 25–50 creators per campaign with sampling &amp; seeding, UGC and measurable sell-out. At Alibaba's Miravia I created social-first destinations (Hot on Social, Beauty Club) and led strategic brand partnerships, onboarding 30+ brands while growing 42 accounts +30% GMV QoQ. Hands-on across UAE quick-commerce (noon, Talabat, Careem, Deliveroo) — the exact 15-minute grocery surface noon Minutes runs on — and data-driven on reach, engagement, CAC, ROI and ROAS. Already based in Dubai on a residence visa; bilingual Spanish/English (C1).</w:t>
      </w:r>
    </w:p>
    <w:p>
      <w:pPr>
        <w:spacing w:before="280" w:after="80"/>
      </w:pPr>
      <w:r>
        <w:rPr>
          <w:rFonts w:ascii="Calibri" w:hAnsi="Calibri"/>
          <w:b/>
          <w:color w:val="2C3E50"/>
          <w:sz w:val="22"/>
        </w:rPr>
        <w:t>WORK EXPERIENCE</w:t>
      </w:r>
    </w:p>
    <w:p>
      <w:pPr>
        <w:spacing w:before="120" w:after="120"/>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6803"/>
          </w:tcPr>
          <w:p>
            <w:pPr>
              <w:spacing w:before="160" w:after="0"/>
            </w:pPr>
            <w:r>
              <w:rPr>
                <w:rFonts w:ascii="Calibri" w:hAnsi="Calibri"/>
                <w:b/>
                <w:color w:val="1E1E1E"/>
                <w:sz w:val="22"/>
              </w:rPr>
              <w:t>Brand &amp; Marketing Manager</w:t>
            </w:r>
          </w:p>
        </w:tc>
        <w:tc>
          <w:tcPr>
            <w:tcW w:type="dxa" w:w="2835"/>
          </w:tcPr>
          <w:p>
            <w:pPr>
              <w:spacing w:before="160" w:after="0"/>
              <w:jc w:val="right"/>
            </w:pPr>
            <w:r>
              <w:rPr>
                <w:rFonts w:ascii="Calibri" w:hAnsi="Calibri"/>
                <w:b w:val="0"/>
                <w:color w:val="787878"/>
                <w:sz w:val="20"/>
              </w:rPr>
              <w:t>Oct 2025 – Present</w:t>
            </w:r>
          </w:p>
        </w:tc>
      </w:tr>
    </w:tbl>
    <w:p>
      <w:pPr>
        <w:spacing w:before="0" w:after="80"/>
      </w:pPr>
      <w:r>
        <w:rPr>
          <w:rFonts w:ascii="Calibri" w:hAnsi="Calibri"/>
          <w:b w:val="0"/>
          <w:color w:val="323232"/>
          <w:sz w:val="19"/>
        </w:rPr>
        <w:t>DoFreeze LLC · Global FMCG distributor | Brands: Befit, Eurocake, Flair | 50+ countries · Dubai, UAE</w:t>
      </w:r>
    </w:p>
    <w:p>
      <w:pPr>
        <w:spacing w:before="0" w:after="40" w:line="260" w:lineRule="exact"/>
      </w:pPr>
      <w:r>
        <w:rPr>
          <w:rFonts w:ascii="Calibri" w:hAnsi="Calibri"/>
          <w:b w:val="0"/>
          <w:color w:val="1E1E1E"/>
          <w:sz w:val="20"/>
        </w:rPr>
        <w:t>• Built and scaled the influencer marketing programme from zero — owning it end-to-end (strategy, creator sourcing, briefing, negotiation, contracts, execution, reporting and optimisation) across mega, macro, micro and nano tiers, running 25–50 creators per campaign to drive authentic UGC, brand awareness and measurable sell-out</w:t>
        <w:br/>
        <w:t>• Develop and execute social-first campaigns across Instagram and TikTok aligned to product launches, promotions and cultural moments — spotting emerging trends and reacting fast with high-impact content and creator activations</w:t>
        <w:br/>
        <w:t>• Run product sampling and seeding programmes with creators across modern trade and quick-commerce, converting creator content into on-platform demand, orders and sell-out</w:t>
        <w:br/>
        <w:t>• Integrate and grow brands on UAE quick-commerce platforms — noon, Careem, Talabat and Deliveroo, the same 15-minute grocery q-commerce surface as noon Minutes — managing listings, promotional mechanics and retail execution to lift orders and basket size</w:t>
        <w:br/>
        <w:t>• Negotiate commercial terms and manage creator, agency and A&amp;P budgets, coordinating external agencies and creators to ensure seamless, consistently high-quality delivery</w:t>
        <w:br/>
        <w:t>• Plan and optimise paid social on Meta (Instagram/Facebook) and Google Ads — audience building, creative A/B testing — analysing ROI, ROAS and acquisition cost to prioritise investment; built an AI-powered automation system (Claude/GPT) for campaign planning, content and KPI reporting, cutting manual workload ~40%</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6803"/>
          </w:tcPr>
          <w:p>
            <w:pPr>
              <w:spacing w:before="160" w:after="0"/>
            </w:pPr>
            <w:r>
              <w:rPr>
                <w:rFonts w:ascii="Calibri" w:hAnsi="Calibri"/>
                <w:b/>
                <w:color w:val="1E1E1E"/>
                <w:sz w:val="22"/>
              </w:rPr>
              <w:t>Key Account &amp; Social Projects Lead – Beauty, Fragrances &amp; Fashion</w:t>
            </w:r>
          </w:p>
        </w:tc>
        <w:tc>
          <w:tcPr>
            <w:tcW w:type="dxa" w:w="2835"/>
          </w:tcPr>
          <w:p>
            <w:pPr>
              <w:spacing w:before="160" w:after="0"/>
              <w:jc w:val="right"/>
            </w:pPr>
            <w:r>
              <w:rPr>
                <w:rFonts w:ascii="Calibri" w:hAnsi="Calibri"/>
                <w:b w:val="0"/>
                <w:color w:val="787878"/>
                <w:sz w:val="20"/>
              </w:rPr>
              <w:t>Nov 2023 – Oct 2025</w:t>
            </w:r>
          </w:p>
        </w:tc>
      </w:tr>
    </w:tbl>
    <w:p>
      <w:pPr>
        <w:spacing w:before="0" w:after="80"/>
      </w:pPr>
      <w:r>
        <w:rPr>
          <w:rFonts w:ascii="Calibri" w:hAnsi="Calibri"/>
          <w:b w:val="0"/>
          <w:color w:val="323232"/>
          <w:sz w:val="19"/>
        </w:rPr>
        <w:t>Miravia / AliExpress (Alibaba Group) · Top 5 global e-commerce marketplace | 100K+ employees · Madrid, Spain</w:t>
      </w:r>
    </w:p>
    <w:p>
      <w:pPr>
        <w:spacing w:before="0" w:after="40" w:line="260" w:lineRule="exact"/>
      </w:pPr>
      <w:r>
        <w:rPr>
          <w:rFonts w:ascii="Calibri" w:hAnsi="Calibri"/>
          <w:b w:val="0"/>
          <w:color w:val="1E1E1E"/>
          <w:sz w:val="20"/>
        </w:rPr>
        <w:t>• Created and led the Hot on Social and Beauty Club projects — social-first, content-led destinations that boosted brand visibility, engagement and loyalty and positioned Miravia as a beauty &amp; lifestyle destination</w:t>
        <w:br/>
        <w:t>• Led strategic brand partnerships as PIC Fragrances — sourcing, negotiating and onboarding 30+ brands in two months, including the official distributors of leading Arabian &amp; oud houses (Arabian Oud, Lattafa, Swiss Arabian, Ajmal) — expanding the brand ecosystem and customer reach</w:t>
        <w:br/>
        <w:t>• Managed 42 key brand accounts and partnerships, achieving +30% GMV growth QoQ through pricing, assortment optimisation and targeted, trend-driven promotions</w:t>
        <w:br/>
        <w:t>• Continuously analysed ROI, ROAS, conversion, traffic, retention and engagement to evaluate campaign effectiveness, optimise investment and improve forecasting accuracy</w:t>
        <w:br/>
        <w:t>• Owned the Flash Sales channel for Beauty, Fashion &amp; Home, reporting directly to the CEO and executing commercial plans aligned with P&amp;L targets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6803"/>
          </w:tcPr>
          <w:p>
            <w:pPr>
              <w:spacing w:before="160" w:after="0"/>
            </w:pPr>
            <w:r>
              <w:rPr>
                <w:rFonts w:ascii="Calibri" w:hAnsi="Calibri"/>
                <w:b/>
                <w:color w:val="1E1E1E"/>
                <w:sz w:val="22"/>
              </w:rPr>
              <w:t>Account Manager – XL Accounts</w:t>
            </w:r>
          </w:p>
        </w:tc>
        <w:tc>
          <w:tcPr>
            <w:tcW w:type="dxa" w:w="2835"/>
          </w:tcPr>
          <w:p>
            <w:pPr>
              <w:spacing w:before="160" w:after="0"/>
              <w:jc w:val="right"/>
            </w:pPr>
            <w:r>
              <w:rPr>
                <w:rFonts w:ascii="Calibri" w:hAnsi="Calibri"/>
                <w:b w:val="0"/>
                <w:color w:val="787878"/>
                <w:sz w:val="20"/>
              </w:rPr>
              <w:t>Sep 2022 – Nov 2023</w:t>
            </w:r>
          </w:p>
        </w:tc>
      </w:tr>
    </w:tbl>
    <w:p>
      <w:pPr>
        <w:spacing w:before="0" w:after="80"/>
      </w:pPr>
      <w:r>
        <w:rPr>
          <w:rFonts w:ascii="Calibri" w:hAnsi="Calibri"/>
          <w:b w:val="0"/>
          <w:color w:val="323232"/>
          <w:sz w:val="19"/>
        </w:rPr>
        <w:t>Glovo · Quick-commerce leader | €500M+ revenue | 10K+ employees · Madrid, Spain</w:t>
      </w:r>
    </w:p>
    <w:p>
      <w:pPr>
        <w:spacing w:before="0" w:after="40" w:line="260" w:lineRule="exact"/>
      </w:pPr>
      <w:r>
        <w:rPr>
          <w:rFonts w:ascii="Calibri" w:hAnsi="Calibri"/>
          <w:b w:val="0"/>
          <w:color w:val="1E1E1E"/>
          <w:sz w:val="20"/>
        </w:rPr>
        <w:t>• Built strategic partnerships onboarding fashion and lifestyle brands as Glovo expanded its q-commerce marketplace beyond food — driving customer acquisition, order volume and category growth</w:t>
        <w:br/>
        <w:t>• Managed strategic key accounts (KFC, Taco Bell, La Tagliatella, Sushi Shop), driving GMV growth through data-led planning and bespoke marketing activations</w:t>
        <w:br/>
        <w:t>• Led cross-functional teams across marketing, logistics and customer support to deliver seamless, high-impact campaigns and activations</w:t>
        <w:br/>
        <w:t>• Negotiated and closed high-impact commercial deals, managing terms and deliverables to maximise profitability for both platform and partners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6803"/>
          </w:tcPr>
          <w:p>
            <w:pPr>
              <w:spacing w:before="160" w:after="0"/>
            </w:pPr>
            <w:r>
              <w:rPr>
                <w:rFonts w:ascii="Calibri" w:hAnsi="Calibri"/>
                <w:b/>
                <w:color w:val="1E1E1E"/>
                <w:sz w:val="22"/>
              </w:rPr>
              <w:t>Trainee – Category Planning</w:t>
            </w:r>
          </w:p>
        </w:tc>
        <w:tc>
          <w:tcPr>
            <w:tcW w:type="dxa" w:w="2835"/>
          </w:tcPr>
          <w:p>
            <w:pPr>
              <w:spacing w:before="160" w:after="0"/>
              <w:jc w:val="right"/>
            </w:pPr>
            <w:r>
              <w:rPr>
                <w:rFonts w:ascii="Calibri" w:hAnsi="Calibri"/>
                <w:b w:val="0"/>
                <w:color w:val="787878"/>
                <w:sz w:val="20"/>
              </w:rPr>
              <w:t>Aug 2021 – Aug 2022</w:t>
            </w:r>
          </w:p>
        </w:tc>
      </w:tr>
    </w:tbl>
    <w:p>
      <w:pPr>
        <w:spacing w:before="0" w:after="80"/>
      </w:pPr>
      <w:r>
        <w:rPr>
          <w:rFonts w:ascii="Calibri" w:hAnsi="Calibri"/>
          <w:b w:val="0"/>
          <w:color w:val="323232"/>
          <w:sz w:val="19"/>
        </w:rPr>
        <w:t>Mondelez International · Global FMCG | €36B annual revenue | 90K+ employees · Madrid, Spain</w:t>
      </w:r>
    </w:p>
    <w:p>
      <w:pPr>
        <w:spacing w:before="0" w:after="40" w:line="260" w:lineRule="exact"/>
      </w:pPr>
      <w:r>
        <w:rPr>
          <w:rFonts w:ascii="Calibri" w:hAnsi="Calibri"/>
          <w:b w:val="0"/>
          <w:color w:val="1E1E1E"/>
          <w:sz w:val="20"/>
        </w:rPr>
        <w:t>• Analysed promotional effectiveness and sell-in/sell-out for the chocolate category, building performance reports and surfacing growth opportunities</w:t>
        <w:br/>
        <w:t>• Contributed to NPD launches (Milka Spread, Mini Suchard) from concept to shelf</w:t>
      </w:r>
    </w:p>
    <w:p>
      <w:pPr>
        <w:spacing w:before="280" w:after="80"/>
      </w:pPr>
      <w:r>
        <w:rPr>
          <w:rFonts w:ascii="Calibri" w:hAnsi="Calibri"/>
          <w:b/>
          <w:color w:val="2C3E50"/>
          <w:sz w:val="22"/>
        </w:rPr>
        <w:t>CORE SKILLS &amp; TOOLS</w:t>
      </w:r>
    </w:p>
    <w:p>
      <w:pPr>
        <w:spacing w:before="120" w:after="120"/>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1701"/>
            <w:tcW w:w="1700" w:type="dxa"/>
          </w:tcPr>
          <w:p>
            <w:pPr>
              <w:spacing w:before="40" w:after="40"/>
            </w:pPr>
            <w:r>
              <w:rPr>
                <w:rFonts w:ascii="Calibri" w:hAnsi="Calibri"/>
                <w:b/>
                <w:color w:val="1E1E1E"/>
                <w:sz w:val="19"/>
              </w:rPr>
              <w:t>Brand &amp; Marketing</w:t>
            </w:r>
          </w:p>
        </w:tc>
        <w:tc>
          <w:tcPr>
            <w:tcW w:type="dxa" w:w="7937"/>
            <w:tcW w:w="7937" w:type="dxa"/>
          </w:tcPr>
          <w:p>
            <w:pPr>
              <w:spacing w:before="40" w:after="40"/>
            </w:pPr>
            <w:r>
              <w:rPr>
                <w:rFonts w:ascii="Calibri" w:hAnsi="Calibri"/>
                <w:b w:val="0"/>
                <w:color w:val="1E1E1E"/>
                <w:sz w:val="19"/>
              </w:rPr>
              <w:t>influencer marketing (mega/macro/micro/nano), creator sourcing &amp; briefing, social-first campaigns, UGC &amp; content, sampling &amp; seeding, strategic partnerships, brand strategy, go-to-market, A&amp;P &amp; creator budget management, generative-AI campaigns</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1701"/>
            <w:tcW w:w="1700" w:type="dxa"/>
          </w:tcPr>
          <w:p>
            <w:pPr>
              <w:spacing w:before="40" w:after="40"/>
            </w:pPr>
            <w:r>
              <w:rPr>
                <w:rFonts w:ascii="Calibri" w:hAnsi="Calibri"/>
                <w:b/>
                <w:color w:val="1E1E1E"/>
                <w:sz w:val="19"/>
              </w:rPr>
              <w:t>E-Commerce &amp; Digital</w:t>
            </w:r>
          </w:p>
        </w:tc>
        <w:tc>
          <w:tcPr>
            <w:tcW w:type="dxa" w:w="7937"/>
            <w:tcW w:w="7937" w:type="dxa"/>
          </w:tcPr>
          <w:p>
            <w:pPr>
              <w:spacing w:before="40" w:after="40"/>
            </w:pPr>
            <w:r>
              <w:rPr>
                <w:rFonts w:ascii="Calibri" w:hAnsi="Calibri"/>
                <w:b w:val="0"/>
                <w:color w:val="1E1E1E"/>
                <w:sz w:val="19"/>
              </w:rPr>
              <w:t>Instagram, TikTok, YouTube, Snapchat, social media management &amp; calendars, quick-commerce (noon, Talabat, Careem, Deliveroo), Meta Ads (Instagram/Facebook), Google Ads, Shopify, marketing automation</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1701"/>
            <w:tcW w:w="1700" w:type="dxa"/>
          </w:tcPr>
          <w:p>
            <w:pPr>
              <w:spacing w:before="40" w:after="40"/>
            </w:pPr>
            <w:r>
              <w:rPr>
                <w:rFonts w:ascii="Calibri" w:hAnsi="Calibri"/>
                <w:b/>
                <w:color w:val="1E1E1E"/>
                <w:sz w:val="19"/>
              </w:rPr>
              <w:t>Commercial</w:t>
            </w:r>
          </w:p>
        </w:tc>
        <w:tc>
          <w:tcPr>
            <w:tcW w:type="dxa" w:w="7937"/>
            <w:tcW w:w="7937" w:type="dxa"/>
          </w:tcPr>
          <w:p>
            <w:pPr>
              <w:spacing w:before="40" w:after="40"/>
            </w:pPr>
            <w:r>
              <w:rPr>
                <w:rFonts w:ascii="Calibri" w:hAnsi="Calibri"/>
                <w:b w:val="0"/>
                <w:color w:val="1E1E1E"/>
                <w:sz w:val="19"/>
              </w:rPr>
              <w:t>strategic partnerships, creator &amp; brand negotiation, contract &amp; deliverable management, stakeholder management, brand onboarding, key account management, budget &amp; timeline management</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1701"/>
            <w:tcW w:w="1700" w:type="dxa"/>
          </w:tcPr>
          <w:p>
            <w:pPr>
              <w:spacing w:before="40" w:after="40"/>
            </w:pPr>
            <w:r>
              <w:rPr>
                <w:rFonts w:ascii="Calibri" w:hAnsi="Calibri"/>
                <w:b/>
                <w:color w:val="1E1E1E"/>
                <w:sz w:val="19"/>
              </w:rPr>
              <w:t>Data &amp; Analytics</w:t>
            </w:r>
          </w:p>
        </w:tc>
        <w:tc>
          <w:tcPr>
            <w:tcW w:type="dxa" w:w="7937"/>
            <w:tcW w:w="7937" w:type="dxa"/>
          </w:tcPr>
          <w:p>
            <w:pPr>
              <w:spacing w:before="40" w:after="40"/>
            </w:pPr>
            <w:r>
              <w:rPr>
                <w:rFonts w:ascii="Calibri" w:hAnsi="Calibri"/>
                <w:b w:val="0"/>
                <w:color w:val="1E1E1E"/>
                <w:sz w:val="19"/>
              </w:rPr>
              <w:t>campaign performance analytics, reach &amp; engagement, CAC, ROI, ROAS, KPI dashboards &amp; scorecards, audience &amp; influencer evaluation, sentiment analysis, sell-in/sell-out, AI-assisted analysis, Looker, Power BI</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1701"/>
            <w:tcW w:w="1700" w:type="dxa"/>
          </w:tcPr>
          <w:p>
            <w:pPr>
              <w:spacing w:before="40" w:after="40"/>
            </w:pPr>
            <w:r>
              <w:rPr>
                <w:rFonts w:ascii="Calibri" w:hAnsi="Calibri"/>
                <w:b/>
                <w:color w:val="1E1E1E"/>
                <w:sz w:val="19"/>
              </w:rPr>
              <w:t>Tools</w:t>
            </w:r>
          </w:p>
        </w:tc>
        <w:tc>
          <w:tcPr>
            <w:tcW w:type="dxa" w:w="7937"/>
            <w:tcW w:w="7937" w:type="dxa"/>
          </w:tcPr>
          <w:p>
            <w:pPr>
              <w:spacing w:before="40" w:after="40"/>
            </w:pPr>
            <w:r>
              <w:rPr>
                <w:rFonts w:ascii="Calibri" w:hAnsi="Calibri"/>
                <w:b w:val="0"/>
                <w:color w:val="1E1E1E"/>
                <w:sz w:val="19"/>
              </w:rPr>
              <w:t>Meta Business Suite, Meta Ads Manager, Instagram, TikTok, Google Ads, Shopify, Canva, Generative AI (Claude, ChatGPT), Power BI, Looker, Salesforce, Microsoft Office (Expert)</w:t>
            </w:r>
          </w:p>
        </w:tc>
      </w:tr>
    </w:tbl>
    <w:p>
      <w:pPr>
        <w:spacing w:before="280" w:after="80"/>
      </w:pPr>
      <w:r>
        <w:rPr>
          <w:rFonts w:ascii="Calibri" w:hAnsi="Calibri"/>
          <w:b/>
          <w:color w:val="2C3E50"/>
          <w:sz w:val="22"/>
        </w:rPr>
        <w:t>EDUCATION</w:t>
      </w:r>
    </w:p>
    <w:p>
      <w:pPr>
        <w:spacing w:before="120" w:after="120"/>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6803"/>
          </w:tcPr>
          <w:p>
            <w:pPr>
              <w:spacing w:before="0" w:after="0"/>
            </w:pPr>
            <w:r>
              <w:rPr>
                <w:rFonts w:ascii="Calibri" w:hAnsi="Calibri"/>
                <w:b/>
                <w:color w:val="1E1E1E"/>
                <w:sz w:val="22"/>
              </w:rPr>
              <w:t>Bachelor's in Business Administration — CUNEF Universidad, Madrid</w:t>
            </w:r>
          </w:p>
        </w:tc>
        <w:tc>
          <w:tcPr>
            <w:tcW w:type="dxa" w:w="2835"/>
          </w:tcPr>
          <w:p>
            <w:pPr>
              <w:spacing w:before="0" w:after="0"/>
              <w:jc w:val="right"/>
            </w:pPr>
            <w:r>
              <w:rPr>
                <w:rFonts w:ascii="Calibri" w:hAnsi="Calibri"/>
                <w:b w:val="0"/>
                <w:color w:val="787878"/>
                <w:sz w:val="20"/>
              </w:rPr>
              <w:t>2016 – 2020</w:t>
            </w:r>
          </w:p>
        </w:tc>
      </w:tr>
    </w:tbl>
    <w:p>
      <w:pPr>
        <w:spacing w:before="0" w:after="20"/>
      </w:pPr>
      <w:r>
        <w:rPr>
          <w:rFonts w:ascii="Calibri" w:hAnsi="Calibri"/>
          <w:b w:val="0"/>
          <w:color w:val="787878"/>
          <w:sz w:val="18"/>
        </w:rPr>
        <w:t>Specialisation: E-Commerce · Fashion Industry · Thesis grade: 9.5/10</w:t>
      </w:r>
    </w:p>
    <w:p>
      <w:pPr>
        <w:spacing w:before="0" w:after="0"/>
      </w:pPr>
      <w:r>
        <w:rPr>
          <w:rFonts w:ascii="Calibri" w:hAnsi="Calibri"/>
          <w:b w:val="0"/>
          <w:color w:val="787878"/>
          <w:sz w:val="18"/>
        </w:rPr>
        <w:t>Google E-Commerce Certificate · Google Digital Marketing Certificate</w:t>
      </w:r>
    </w:p>
    <w:p>
      <w:pPr>
        <w:spacing w:before="280" w:after="80"/>
      </w:pPr>
      <w:r>
        <w:rPr>
          <w:rFonts w:ascii="Calibri" w:hAnsi="Calibri"/>
          <w:b/>
          <w:color w:val="2C3E50"/>
          <w:sz w:val="22"/>
        </w:rPr>
        <w:t>LANGUAGES</w:t>
      </w:r>
    </w:p>
    <w:p>
      <w:pPr>
        <w:spacing w:before="120" w:after="120"/>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3"/>
        <w:gridCol w:w="2493"/>
        <w:gridCol w:w="2493"/>
        <w:gridCol w:w="2493"/>
      </w:tblGrid>
      <w:tr>
        <w:tc>
          <w:tcPr>
            <w:tcW w:type="dxa" w:w="2493"/>
          </w:tcPr>
          <w:p>
            <w:pPr>
              <w:spacing w:before="0" w:after="0"/>
            </w:pPr>
            <w:r>
              <w:rPr>
                <w:rFonts w:ascii="Calibri" w:hAnsi="Calibri"/>
                <w:b/>
                <w:color w:val="1E1E1E"/>
                <w:sz w:val="20"/>
              </w:rPr>
              <w:t>Spanish</w:t>
            </w:r>
          </w:p>
        </w:tc>
        <w:tc>
          <w:tcPr>
            <w:tcW w:type="dxa" w:w="2493"/>
          </w:tcPr>
          <w:p>
            <w:pPr>
              <w:spacing w:before="0" w:after="0"/>
            </w:pPr>
            <w:r>
              <w:rPr>
                <w:rFonts w:ascii="Calibri" w:hAnsi="Calibri"/>
                <w:b w:val="0"/>
                <w:color w:val="1E1E1E"/>
                <w:sz w:val="20"/>
              </w:rPr>
              <w:t>Native</w:t>
            </w:r>
          </w:p>
        </w:tc>
        <w:tc>
          <w:tcPr>
            <w:tcW w:type="dxa" w:w="2493"/>
          </w:tcPr>
          <w:p>
            <w:pPr>
              <w:spacing w:before="0" w:after="0"/>
            </w:pPr>
            <w:r>
              <w:rPr>
                <w:rFonts w:ascii="Calibri" w:hAnsi="Calibri"/>
                <w:b/>
                <w:color w:val="1E1E1E"/>
                <w:sz w:val="20"/>
              </w:rPr>
              <w:t>English</w:t>
            </w:r>
          </w:p>
        </w:tc>
        <w:tc>
          <w:tcPr>
            <w:tcW w:type="dxa" w:w="2493"/>
          </w:tcPr>
          <w:p>
            <w:pPr>
              <w:spacing w:before="0" w:after="0"/>
            </w:pPr>
            <w:r>
              <w:rPr>
                <w:rFonts w:ascii="Calibri" w:hAnsi="Calibri"/>
                <w:b w:val="0"/>
                <w:color w:val="1E1E1E"/>
                <w:sz w:val="20"/>
              </w:rPr>
              <w:t>Professional C1</w:t>
            </w:r>
          </w:p>
        </w:tc>
      </w:tr>
    </w:tbl>
    <w:sectPr w:rsidR="00FC693F" w:rsidRPr="0006063C" w:rsidSect="00034616">
      <w:pgSz w:w="12240" w:h="15840"/>
      <w:pgMar w:top="850"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