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color w:val="1E1E1E"/>
          <w:sz w:val="22"/>
        </w:rPr>
        <w:t>15 August 2026</w:t>
      </w:r>
    </w:p>
    <w:p/>
    <w:p>
      <w:r>
        <w:rPr>
          <w:rFonts w:ascii="Calibri" w:hAnsi="Calibri"/>
          <w:b w:val="0"/>
          <w:color w:val="1E1E1E"/>
          <w:sz w:val="22"/>
        </w:rPr>
        <w:t>Dear Hiring Manager,</w:t>
      </w:r>
    </w:p>
    <w:p/>
    <w:p>
      <w:pPr>
        <w:spacing w:before="0" w:after="160" w:line="300" w:lineRule="exact"/>
      </w:pPr>
      <w:r>
        <w:rPr>
          <w:rFonts w:ascii="Calibri" w:hAnsi="Calibri"/>
          <w:b w:val="0"/>
          <w:color w:val="1E1E1E"/>
          <w:sz w:val="22"/>
        </w:rPr>
        <w:t>Nestlé is the brand-building school I most admire in FMCG, so the NesTalent Marketing Graduate Trainee programme genuinely excites me. Marketing is my passion, food and consumer brands are where I started my career (a trainee programme at Mondelez), and the idea of a 24-month journey across Nestlé MENA's categories — learning brand innovation, brand experiences and consumer insights the Nestlé way — is exactly the kind of foundation I want to build on.</w:t>
      </w:r>
    </w:p>
    <w:p>
      <w:pPr>
        <w:spacing w:before="0" w:after="160" w:line="300" w:lineRule="exact"/>
      </w:pPr>
      <w:r>
        <w:rPr>
          <w:rFonts w:ascii="Calibri" w:hAnsi="Calibri"/>
          <w:b w:val="0"/>
          <w:color w:val="1E1E1E"/>
          <w:sz w:val="22"/>
        </w:rPr>
        <w:t>Every theme the programme rotates through is work I already love doing hands-on. At DoFreeze I lead brand innovation end-to-end (6 NPD launches: brief, packaging, pricing, go-to-market), create engaging brand experiences through 360 campaigns and activations, and turn consumer and category insight into brand plans — all in a fast-moving, multi-functional setting with commercial, creative and trade partners. Before that, my Mondelez trainee year in a global food FMCG (category planning, NPD like Milka, sell-in/sell-out analysis) is the closest thing to NesTalent I've experienced, and it's why I know I'd thrive in it.</w:t>
      </w:r>
    </w:p>
    <w:p>
      <w:pPr>
        <w:spacing w:before="0" w:after="160" w:line="300" w:lineRule="exact"/>
      </w:pPr>
      <w:r>
        <w:rPr>
          <w:rFonts w:ascii="Calibri" w:hAnsi="Calibri"/>
          <w:b w:val="0"/>
          <w:color w:val="1E1E1E"/>
          <w:sz w:val="22"/>
        </w:rPr>
        <w:t>In full honesty, I bring more hands-on experience than a typical fresh graduate — and I'm applying with open eyes and real enthusiasm. I'm not looking to skip the learning; I want to learn Nestlé's craft across its portfolio and grow with the business. I'm a CUNEF Business Administration graduate with a Marketing-heavy specialisation and a 9.5/10 thesis, fluent in English and Spanish, curious and a fast learner, already based in Dubai on a UAE residence visa — so I can start contributing from day one with zero relocation.</w:t>
      </w:r>
    </w:p>
    <w:p>
      <w:pPr>
        <w:spacing w:before="0" w:after="160" w:line="300" w:lineRule="exact"/>
      </w:pPr>
      <w:r>
        <w:rPr>
          <w:rFonts w:ascii="Calibri" w:hAnsi="Calibri"/>
          <w:b w:val="0"/>
          <w:color w:val="1E1E1E"/>
          <w:sz w:val="22"/>
        </w:rPr>
        <w:t>I'd welcome the chance to talk about how my passion for marketing, FMCG grounding and genuine eagerness to learn fit the NesTalent programme. I'm based in Dubai and available to interview at your convenience. Thank you for considering my application.</w:t>
      </w:r>
    </w:p>
    <w:p/>
    <w:p>
      <w:r>
        <w:rPr>
          <w:rFonts w:ascii="Calibri" w:hAnsi="Calibri"/>
          <w:b w:val="0"/>
          <w:color w:val="1E1E1E"/>
          <w:sz w:val="22"/>
        </w:rPr>
        <w:t>Best regards,</w:t>
      </w:r>
    </w:p>
    <w:p/>
    <w:p>
      <w:r>
        <w:rPr>
          <w:rFonts w:ascii="Calibri" w:hAnsi="Calibri"/>
          <w:b/>
          <w:color w:val="1E1E1E"/>
          <w:sz w:val="22"/>
        </w:rPr>
        <w:t>Paula De Francisco Pérez</w:t>
      </w:r>
    </w:p>
    <w:p>
      <w:r>
        <w:rPr>
          <w:rFonts w:ascii="Calibri" w:hAnsi="Calibri"/>
          <w:b w:val="0"/>
          <w:color w:val="787878"/>
          <w:sz w:val="20"/>
        </w:rPr>
        <w:t>+971 50 386 3656 | paulich98@hotmail.com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