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986"/>
        <w:gridCol w:w="4986"/>
      </w:tblGrid>
      <w:tr>
        <w:tc>
          <w:tcPr>
            <w:tcW w:type="dxa" w:w="7654"/>
          </w:tcPr>
          <w:p>
            <w:pPr>
              <w:spacing w:before="0" w:after="20" w:line="220" w:lineRule="exact"/>
            </w:pPr>
            <w:r>
              <w:rPr>
                <w:rFonts w:ascii="Calibri" w:hAnsi="Calibri"/>
                <w:b/>
                <w:color w:val="2C3E50"/>
                <w:sz w:val="40"/>
              </w:rPr>
              <w:t>Paula De Francisco Pérez</w:t>
            </w:r>
          </w:p>
          <w:p>
            <w:pPr>
              <w:spacing w:before="0" w:after="20" w:line="220" w:lineRule="exact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Marketing Manager · Performance, Social &amp; Partnerships</w:t>
            </w:r>
          </w:p>
          <w:p>
            <w:pPr>
              <w:spacing w:before="0" w:after="20" w:line="220" w:lineRule="exact"/>
            </w:pPr>
            <w:r>
              <w:rPr>
                <w:rFonts w:ascii="Calibri" w:hAnsi="Calibri"/>
                <w:b w:val="0"/>
                <w:color w:val="787878"/>
                <w:sz w:val="17"/>
              </w:rPr>
              <w:t>Dubai, UAE | +971 50 386 3656 | paulich98@hotmail.com</w:t>
            </w:r>
          </w:p>
          <w:p>
            <w:pPr>
              <w:spacing w:before="0" w:after="20" w:line="220" w:lineRule="exact"/>
            </w:pPr>
            <w:r>
              <w:rPr>
                <w:rFonts w:ascii="Calibri" w:hAnsi="Calibri"/>
                <w:b w:val="0"/>
                <w:color w:val="787878"/>
                <w:sz w:val="17"/>
              </w:rPr>
              <w:t>linkedin.com/in/paula-de-francisco-perez-92a13119a</w:t>
              <w:br/>
              <w:t>Portfolio: paula-de-francisco.vercel.app</w:t>
              <w:br/>
              <w:t>Nationality: Spanish | UAE Employment Visa (employer-sponsored)</w:t>
            </w:r>
          </w:p>
        </w:tc>
        <w:tc>
          <w:tcPr>
            <w:tcW w:type="dxa" w:w="1701"/>
          </w:tcPr>
          <w:p>
            <w:pPr>
              <w:spacing w:before="0" w:after="0" w:line="240" w:lineRule="auto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972000" cy="129010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ula_photo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000" cy="12901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40" w:line="230" w:lineRule="exact"/>
      </w:pPr>
      <w:r>
        <w:rPr>
          <w:rFonts w:ascii="Calibri" w:hAnsi="Calibri"/>
          <w:b/>
          <w:color w:val="2C3E50"/>
          <w:sz w:val="22"/>
        </w:rPr>
        <w:t>PROFESSIONAL SUMMARY</w:t>
      </w:r>
    </w:p>
    <w:p>
      <w:pPr>
        <w:spacing w:before="0" w:after="0" w:line="60" w:lineRule="exact"/>
        <w:pBdr>
          <w:bottom w:val="single" w:sz="4" w:space="1" w:color="CCCCCC"/>
        </w:pBdr>
      </w:pPr>
    </w:p>
    <w:p>
      <w:pPr>
        <w:spacing w:before="80" w:after="40" w:line="230" w:lineRule="exact"/>
      </w:pPr>
      <w:r>
        <w:rPr>
          <w:rFonts w:ascii="Calibri" w:hAnsi="Calibri"/>
          <w:b w:val="0"/>
          <w:color w:val="1E1E1E"/>
          <w:sz w:val="20"/>
        </w:rPr>
        <w:t>Hands-on marketing manager with 5 years across consumer brands and digital marketplaces. Brand &amp; Marketing Manager at DoFreeze in Dubai, running paid, social, email, influencer, affiliate and event marketing with a team of two, and judging campaigns on incremental sales, not reach. Previously grew 42 brands +30% GMV QoQ at Alibaba's Miravia.</w:t>
      </w:r>
    </w:p>
    <w:p>
      <w:pPr>
        <w:spacing w:before="80" w:after="40" w:line="230" w:lineRule="exact"/>
      </w:pPr>
      <w:r>
        <w:rPr>
          <w:rFonts w:ascii="Calibri" w:hAnsi="Calibri"/>
          <w:b/>
          <w:color w:val="2C3E50"/>
          <w:sz w:val="22"/>
        </w:rPr>
        <w:t>WORK EXPERIENCE</w:t>
      </w:r>
    </w:p>
    <w:p>
      <w:pPr>
        <w:spacing w:before="0" w:after="0" w:line="60" w:lineRule="exact"/>
        <w:pBdr>
          <w:bottom w:val="single" w:sz="4" w:space="1" w:color="CCCCCC"/>
        </w:pBdr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7560"/>
        <w:gridCol w:w="2808"/>
      </w:tblGrid>
      <w:tr>
        <w:tc>
          <w:tcPr>
            <w:tcW w:type="dxa" w:w="7560"/>
          </w:tcPr>
          <w:p>
            <w:pPr>
              <w:spacing w:before="0" w:after="20" w:line="220" w:lineRule="exact"/>
            </w:pPr>
            <w:r>
              <w:rPr>
                <w:rFonts w:ascii="Calibri" w:hAnsi="Calibri"/>
                <w:b/>
                <w:color w:val="1E1E1E"/>
                <w:sz w:val="22"/>
              </w:rPr>
              <w:t>Brand &amp; Marketing Manager</w:t>
            </w:r>
          </w:p>
        </w:tc>
        <w:tc>
          <w:tcPr>
            <w:tcW w:type="dxa" w:w="2808"/>
          </w:tcPr>
          <w:p>
            <w:pPr>
              <w:spacing w:before="0" w:after="20" w:line="220" w:lineRule="exact"/>
              <w:jc w:val="right"/>
            </w:pPr>
            <w:r>
              <w:rPr>
                <w:rFonts w:ascii="Calibri" w:hAnsi="Calibri"/>
                <w:b w:val="0"/>
                <w:color w:val="787878"/>
                <w:sz w:val="20"/>
              </w:rPr>
              <w:t>Oct 2025 – Present</w:t>
            </w:r>
          </w:p>
        </w:tc>
      </w:tr>
    </w:tbl>
    <w:p>
      <w:pPr>
        <w:spacing w:before="80" w:after="40" w:line="230" w:lineRule="exact"/>
      </w:pPr>
      <w:r>
        <w:rPr>
          <w:rFonts w:ascii="Calibri" w:hAnsi="Calibri"/>
          <w:b w:val="0"/>
          <w:color w:val="323232"/>
          <w:sz w:val="19"/>
        </w:rPr>
        <w:t>DoFreeze LLC · UAE F&amp;B / FMCG group | 7 brands incl. Befit, Eurocake, SMASH | sold in 50+ countries · Dubai, UAE</w:t>
      </w:r>
    </w:p>
    <w:p>
      <w:pPr>
        <w:spacing w:before="80" w:after="0" w:line="230" w:lineRule="exact"/>
        <w:ind w:left="180" w:hanging="180"/>
      </w:pPr>
      <w:r>
        <w:rPr>
          <w:rFonts w:ascii="Calibri" w:hAnsi="Calibri"/>
          <w:b w:val="0"/>
          <w:color w:val="1E1E1E"/>
          <w:sz w:val="20"/>
        </w:rPr>
        <w:t>•</w:t>
        <w:tab/>
        <w:t>Lead marketing for 7 brands across 50+ markets with a team of two (designer, social media exec): seasonal campaign calendar, 6 product launches, 4 social accounts with weekly creative-hook tests</w:t>
      </w:r>
    </w:p>
    <w:p>
      <w:pPr>
        <w:spacing w:before="0" w:after="0" w:line="230" w:lineRule="exact"/>
        <w:ind w:left="180" w:hanging="180"/>
      </w:pPr>
      <w:r>
        <w:rPr>
          <w:rFonts w:ascii="Calibri" w:hAnsi="Calibri"/>
          <w:b w:val="0"/>
          <w:color w:val="1E1E1E"/>
          <w:sz w:val="20"/>
        </w:rPr>
        <w:t>•</w:t>
        <w:tab/>
        <w:t>Paid social and search on Meta and Google Ads: built a dynamic-catalogue retargeting campaign at 3.7x ROAS and AED 34.5 per purchase in week one; shift budget between channels on break-even ROAS</w:t>
      </w:r>
    </w:p>
    <w:p>
      <w:pPr>
        <w:spacing w:before="0" w:after="0" w:line="230" w:lineRule="exact"/>
        <w:ind w:left="180" w:hanging="180"/>
      </w:pPr>
      <w:r>
        <w:rPr>
          <w:rFonts w:ascii="Calibri" w:hAnsi="Calibri"/>
          <w:b w:val="0"/>
          <w:color w:val="1E1E1E"/>
          <w:sz w:val="20"/>
        </w:rPr>
        <w:t>•</w:t>
        <w:tab/>
        <w:t>Built the influencer programme from zero: 103 creator activations over 3 waves on ~AED 25K (AED 81 per content piece); compared 4 agencies, negotiated −30% and audited the agency's reach reporting</w:t>
      </w:r>
    </w:p>
    <w:p>
      <w:pPr>
        <w:spacing w:before="0" w:after="0" w:line="230" w:lineRule="exact"/>
        <w:ind w:left="180" w:hanging="180"/>
      </w:pPr>
      <w:r>
        <w:rPr>
          <w:rFonts w:ascii="Calibri" w:hAnsi="Calibri"/>
          <w:b w:val="0"/>
          <w:color w:val="1E1E1E"/>
          <w:sz w:val="20"/>
        </w:rPr>
        <w:t>•</w:t>
        <w:tab/>
        <w:t>Measure on incremental sales: the SMASH x talabat purchase-to-enter giveaway lifted daily sales +165% vs +4.7% for a control brand; Befit x Noon added 4,176 incremental units (+31% vs baseline)</w:t>
      </w:r>
    </w:p>
    <w:p>
      <w:pPr>
        <w:spacing w:before="0" w:after="0" w:line="230" w:lineRule="exact"/>
        <w:ind w:left="180" w:hanging="180"/>
      </w:pPr>
      <w:r>
        <w:rPr>
          <w:rFonts w:ascii="Calibri" w:hAnsi="Calibri"/>
          <w:b w:val="0"/>
          <w:color w:val="1E1E1E"/>
          <w:sz w:val="20"/>
        </w:rPr>
        <w:t>•</w:t>
        <w:tab/>
        <w:t>Web orders +86% and revenue +57% (Q1 vs Jun–Aug 2026) after adding Judge.me reviews, basket-based bundles and a 30-day replenishment flow; segmented a 16K email base for deliverability</w:t>
      </w:r>
    </w:p>
    <w:p>
      <w:pPr>
        <w:spacing w:before="0" w:after="40" w:line="230" w:lineRule="exact"/>
        <w:ind w:left="180" w:hanging="180"/>
      </w:pPr>
      <w:r>
        <w:rPr>
          <w:rFonts w:ascii="Calibri" w:hAnsi="Calibri"/>
          <w:b w:val="0"/>
          <w:color w:val="1E1E1E"/>
          <w:sz w:val="20"/>
        </w:rPr>
        <w:t>•</w:t>
        <w:tab/>
        <w:t>Designed the Befit Crew affiliate programme (BixGrow, personal codes, tiered commissions); ran sampling and events incl. Saudi Food Show 2026 and a Sun &amp; Sand Sports x Fabletics yoga session that led to a listing proposal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7560"/>
        <w:gridCol w:w="2808"/>
      </w:tblGrid>
      <w:tr>
        <w:tc>
          <w:tcPr>
            <w:tcW w:type="dxa" w:w="7560"/>
          </w:tcPr>
          <w:p>
            <w:pPr>
              <w:spacing w:before="0" w:after="20" w:line="220" w:lineRule="exact"/>
            </w:pPr>
            <w:r>
              <w:rPr>
                <w:rFonts w:ascii="Calibri" w:hAnsi="Calibri"/>
                <w:b/>
                <w:color w:val="1E1E1E"/>
                <w:sz w:val="22"/>
              </w:rPr>
              <w:t>Key Account Manager – Beauty, Fragrances &amp; Fashion</w:t>
            </w:r>
          </w:p>
        </w:tc>
        <w:tc>
          <w:tcPr>
            <w:tcW w:type="dxa" w:w="2808"/>
          </w:tcPr>
          <w:p>
            <w:pPr>
              <w:spacing w:before="0" w:after="20" w:line="220" w:lineRule="exact"/>
              <w:jc w:val="right"/>
            </w:pPr>
            <w:r>
              <w:rPr>
                <w:rFonts w:ascii="Calibri" w:hAnsi="Calibri"/>
                <w:b w:val="0"/>
                <w:color w:val="787878"/>
                <w:sz w:val="20"/>
              </w:rPr>
              <w:t>Nov 2023 – Oct 2025</w:t>
            </w:r>
          </w:p>
        </w:tc>
      </w:tr>
    </w:tbl>
    <w:p>
      <w:pPr>
        <w:spacing w:before="80" w:after="40" w:line="230" w:lineRule="exact"/>
      </w:pPr>
      <w:r>
        <w:rPr>
          <w:rFonts w:ascii="Calibri" w:hAnsi="Calibri"/>
          <w:b w:val="0"/>
          <w:color w:val="323232"/>
          <w:sz w:val="19"/>
        </w:rPr>
        <w:t>Miravia &amp; AliExpress (Alibaba Group) · Beauty &amp; Health department · Madrid, Spain</w:t>
      </w:r>
    </w:p>
    <w:p>
      <w:pPr>
        <w:spacing w:before="80" w:after="0" w:line="230" w:lineRule="exact"/>
        <w:ind w:left="180" w:hanging="180"/>
      </w:pPr>
      <w:r>
        <w:rPr>
          <w:rFonts w:ascii="Calibri" w:hAnsi="Calibri"/>
          <w:b w:val="0"/>
          <w:color w:val="1E1E1E"/>
          <w:sz w:val="20"/>
        </w:rPr>
        <w:t>•</w:t>
        <w:tab/>
        <w:t>Grew 42 beauty and fragrance brands (incl. L'Oréal Paris, Maybelline, NYX, Redken, KIKO Milano) +30% GMV QoQ through pricing, assortment, promotions and on-site visibility; worked with marketing, product and ops</w:t>
      </w:r>
    </w:p>
    <w:p>
      <w:pPr>
        <w:spacing w:before="0" w:after="0" w:line="230" w:lineRule="exact"/>
        <w:ind w:left="180" w:hanging="180"/>
      </w:pPr>
      <w:r>
        <w:rPr>
          <w:rFonts w:ascii="Calibri" w:hAnsi="Calibri"/>
          <w:b w:val="0"/>
          <w:color w:val="1E1E1E"/>
          <w:sz w:val="20"/>
        </w:rPr>
        <w:t>•</w:t>
        <w:tab/>
        <w:t>Spotted the Arabian-perfume trend and grew it into one of Beauty &amp; Health's fastest-growing sub-categories, onboarding 30+ stores in two months (incl. Lattafa and Arabian Oud distributors)</w:t>
      </w:r>
    </w:p>
    <w:p>
      <w:pPr>
        <w:spacing w:before="0" w:after="40" w:line="230" w:lineRule="exact"/>
        <w:ind w:left="180" w:hanging="180"/>
      </w:pPr>
      <w:r>
        <w:rPr>
          <w:rFonts w:ascii="Calibri" w:hAnsi="Calibri"/>
          <w:b w:val="0"/>
          <w:color w:val="1E1E1E"/>
          <w:sz w:val="20"/>
        </w:rPr>
        <w:t>•</w:t>
        <w:tab/>
        <w:t>Owned the Flash Sales channel (up to ~30% of B&amp;H sales), reporting to the CEO; created the Beauty Club loyalty programme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7560"/>
        <w:gridCol w:w="2808"/>
      </w:tblGrid>
      <w:tr>
        <w:tc>
          <w:tcPr>
            <w:tcW w:type="dxa" w:w="7560"/>
          </w:tcPr>
          <w:p>
            <w:pPr>
              <w:spacing w:before="0" w:after="20" w:line="220" w:lineRule="exact"/>
            </w:pPr>
            <w:r>
              <w:rPr>
                <w:rFonts w:ascii="Calibri" w:hAnsi="Calibri"/>
                <w:b/>
                <w:color w:val="1E1E1E"/>
                <w:sz w:val="22"/>
              </w:rPr>
              <w:t>Account Manager – XL Accounts</w:t>
            </w:r>
          </w:p>
        </w:tc>
        <w:tc>
          <w:tcPr>
            <w:tcW w:type="dxa" w:w="2808"/>
          </w:tcPr>
          <w:p>
            <w:pPr>
              <w:spacing w:before="0" w:after="20" w:line="220" w:lineRule="exact"/>
              <w:jc w:val="right"/>
            </w:pPr>
            <w:r>
              <w:rPr>
                <w:rFonts w:ascii="Calibri" w:hAnsi="Calibri"/>
                <w:b w:val="0"/>
                <w:color w:val="787878"/>
                <w:sz w:val="20"/>
              </w:rPr>
              <w:t>Sep 2022 – Nov 2023</w:t>
            </w:r>
          </w:p>
        </w:tc>
      </w:tr>
    </w:tbl>
    <w:p>
      <w:pPr>
        <w:spacing w:before="80" w:after="40" w:line="230" w:lineRule="exact"/>
      </w:pPr>
      <w:r>
        <w:rPr>
          <w:rFonts w:ascii="Calibri" w:hAnsi="Calibri"/>
          <w:b w:val="0"/>
          <w:color w:val="323232"/>
          <w:sz w:val="19"/>
        </w:rPr>
        <w:t>Glovo · Food &amp; quick-commerce delivery app | 10K+ employees · Madrid, Spain</w:t>
      </w:r>
    </w:p>
    <w:p>
      <w:pPr>
        <w:spacing w:before="80" w:after="40" w:line="230" w:lineRule="exact"/>
        <w:ind w:left="180" w:hanging="180"/>
      </w:pPr>
      <w:r>
        <w:rPr>
          <w:rFonts w:ascii="Calibri" w:hAnsi="Calibri"/>
          <w:b w:val="0"/>
          <w:color w:val="1E1E1E"/>
          <w:sz w:val="20"/>
        </w:rPr>
        <w:t>•</w:t>
        <w:tab/>
        <w:t>Co-managed 5 XL restaurant accounts (KFC, Taco Bell, Vicio): promotions, in-app visibility, weekly refund-fraud reviews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7560"/>
        <w:gridCol w:w="2808"/>
      </w:tblGrid>
      <w:tr>
        <w:tc>
          <w:tcPr>
            <w:tcW w:type="dxa" w:w="7560"/>
          </w:tcPr>
          <w:p>
            <w:pPr>
              <w:spacing w:before="0" w:after="20" w:line="220" w:lineRule="exact"/>
            </w:pPr>
            <w:r>
              <w:rPr>
                <w:rFonts w:ascii="Calibri" w:hAnsi="Calibri"/>
                <w:b/>
                <w:color w:val="1E1E1E"/>
                <w:sz w:val="22"/>
              </w:rPr>
              <w:t>Early Career</w:t>
            </w:r>
          </w:p>
        </w:tc>
        <w:tc>
          <w:tcPr>
            <w:tcW w:type="dxa" w:w="2808"/>
          </w:tcPr>
          <w:p>
            <w:pPr>
              <w:spacing w:before="0" w:after="20" w:line="220" w:lineRule="exact"/>
              <w:jc w:val="right"/>
            </w:pPr>
            <w:r>
              <w:rPr>
                <w:rFonts w:ascii="Calibri" w:hAnsi="Calibri"/>
                <w:b w:val="0"/>
                <w:color w:val="787878"/>
                <w:sz w:val="20"/>
              </w:rPr>
              <w:t>2019 – 2022</w:t>
            </w:r>
          </w:p>
        </w:tc>
      </w:tr>
    </w:tbl>
    <w:p>
      <w:pPr>
        <w:spacing w:before="80" w:after="40" w:line="230" w:lineRule="exact"/>
      </w:pPr>
      <w:r>
        <w:rPr>
          <w:rFonts w:ascii="Calibri" w:hAnsi="Calibri"/>
          <w:b w:val="0"/>
          <w:color w:val="323232"/>
          <w:sz w:val="19"/>
        </w:rPr>
        <w:t>Mondelez International · Línea Directa Aseguradora · Global FMCG | Spanish direct insurer · Madrid, Spain</w:t>
      </w:r>
    </w:p>
    <w:p>
      <w:pPr>
        <w:spacing w:before="80" w:after="0" w:line="230" w:lineRule="exact"/>
        <w:ind w:left="180" w:hanging="180"/>
      </w:pPr>
      <w:r>
        <w:rPr>
          <w:rFonts w:ascii="Calibri" w:hAnsi="Calibri"/>
          <w:b w:val="0"/>
          <w:color w:val="1E1E1E"/>
          <w:sz w:val="20"/>
        </w:rPr>
        <w:t>•</w:t>
        <w:tab/>
        <w:t>Category Planning Trainee, Mondelez (Aug 2021 – Aug 2022): sell-in/sell-out and promo analysis, NPD support</w:t>
      </w:r>
    </w:p>
    <w:p>
      <w:pPr>
        <w:spacing w:before="0" w:after="40" w:line="230" w:lineRule="exact"/>
        <w:ind w:left="180" w:hanging="180"/>
      </w:pPr>
      <w:r>
        <w:rPr>
          <w:rFonts w:ascii="Calibri" w:hAnsi="Calibri"/>
          <w:b w:val="0"/>
          <w:color w:val="1E1E1E"/>
          <w:sz w:val="20"/>
        </w:rPr>
        <w:t>•</w:t>
        <w:tab/>
        <w:t>Accounting Intern, Línea Directa (Jan – Dec 2019): accounting department of an insurer, working in SAP and Looker</w:t>
      </w:r>
    </w:p>
    <w:p>
      <w:pPr>
        <w:spacing w:before="80" w:after="40" w:line="230" w:lineRule="exact"/>
      </w:pPr>
      <w:r>
        <w:rPr>
          <w:rFonts w:ascii="Calibri" w:hAnsi="Calibri"/>
          <w:b/>
          <w:color w:val="2C3E50"/>
          <w:sz w:val="22"/>
        </w:rPr>
        <w:t>CORE SKILLS &amp; TOOLS</w:t>
      </w:r>
    </w:p>
    <w:p>
      <w:pPr>
        <w:spacing w:before="0" w:after="0" w:line="60" w:lineRule="exact"/>
        <w:pBdr>
          <w:bottom w:val="single" w:sz="4" w:space="1" w:color="CCCCCC"/>
        </w:pBdr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2232"/>
        <w:gridCol w:w="8136"/>
      </w:tblGrid>
      <w:tr>
        <w:tc>
          <w:tcPr>
            <w:tcW w:type="dxa" w:w="2232"/>
            <w:tcW w:w="1700" w:type="dxa"/>
          </w:tcPr>
          <w:p>
            <w:pPr>
              <w:spacing w:before="0" w:after="20" w:line="220" w:lineRule="exact"/>
            </w:pPr>
            <w:r>
              <w:rPr>
                <w:rFonts w:ascii="Calibri" w:hAnsi="Calibri"/>
                <w:b/>
                <w:color w:val="1E1E1E"/>
                <w:sz w:val="19"/>
              </w:rPr>
              <w:t>Marketing</w:t>
            </w:r>
          </w:p>
        </w:tc>
        <w:tc>
          <w:tcPr>
            <w:tcW w:type="dxa" w:w="8136"/>
            <w:tcW w:w="7937" w:type="dxa"/>
          </w:tcPr>
          <w:p>
            <w:pPr>
              <w:spacing w:before="0" w:after="20" w:line="220" w:lineRule="exact"/>
            </w:pPr>
            <w:r>
              <w:rPr>
                <w:rFonts w:ascii="Calibri" w:hAnsi="Calibri"/>
                <w:b w:val="0"/>
                <w:color w:val="1E1E1E"/>
                <w:sz w:val="19"/>
              </w:rPr>
              <w:t>campaign planning, content &amp; copy, social media, influencer &amp; affiliate, events &amp; sampling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2232"/>
        <w:gridCol w:w="8136"/>
      </w:tblGrid>
      <w:tr>
        <w:tc>
          <w:tcPr>
            <w:tcW w:type="dxa" w:w="2232"/>
            <w:tcW w:w="1700" w:type="dxa"/>
          </w:tcPr>
          <w:p>
            <w:pPr>
              <w:spacing w:before="0" w:after="20" w:line="220" w:lineRule="exact"/>
            </w:pPr>
            <w:r>
              <w:rPr>
                <w:rFonts w:ascii="Calibri" w:hAnsi="Calibri"/>
                <w:b/>
                <w:color w:val="1E1E1E"/>
                <w:sz w:val="19"/>
              </w:rPr>
              <w:t>Digital &amp; Performance</w:t>
            </w:r>
          </w:p>
        </w:tc>
        <w:tc>
          <w:tcPr>
            <w:tcW w:type="dxa" w:w="8136"/>
            <w:tcW w:w="7937" w:type="dxa"/>
          </w:tcPr>
          <w:p>
            <w:pPr>
              <w:spacing w:before="0" w:after="20" w:line="220" w:lineRule="exact"/>
            </w:pPr>
            <w:r>
              <w:rPr>
                <w:rFonts w:ascii="Calibri" w:hAnsi="Calibri"/>
                <w:b w:val="0"/>
                <w:color w:val="1E1E1E"/>
                <w:sz w:val="19"/>
              </w:rPr>
              <w:t>Meta Ads, Google Ads, Shopify, CRO, email &amp; segmentation, Instagram, TikTok, Noon, talabat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2232"/>
        <w:gridCol w:w="8136"/>
      </w:tblGrid>
      <w:tr>
        <w:tc>
          <w:tcPr>
            <w:tcW w:type="dxa" w:w="2232"/>
            <w:tcW w:w="1700" w:type="dxa"/>
          </w:tcPr>
          <w:p>
            <w:pPr>
              <w:spacing w:before="0" w:after="20" w:line="220" w:lineRule="exact"/>
            </w:pPr>
            <w:r>
              <w:rPr>
                <w:rFonts w:ascii="Calibri" w:hAnsi="Calibri"/>
                <w:b/>
                <w:color w:val="1E1E1E"/>
                <w:sz w:val="19"/>
              </w:rPr>
              <w:t>Budgets &amp; Partners</w:t>
            </w:r>
          </w:p>
        </w:tc>
        <w:tc>
          <w:tcPr>
            <w:tcW w:type="dxa" w:w="8136"/>
            <w:tcW w:w="7937" w:type="dxa"/>
          </w:tcPr>
          <w:p>
            <w:pPr>
              <w:spacing w:before="0" w:after="20" w:line="220" w:lineRule="exact"/>
            </w:pPr>
            <w:r>
              <w:rPr>
                <w:rFonts w:ascii="Calibri" w:hAnsi="Calibri"/>
                <w:b w:val="0"/>
                <w:color w:val="1E1E1E"/>
                <w:sz w:val="19"/>
              </w:rPr>
              <w:t>budget management, agency &amp; vendor negotiation, platform partnerships, key account management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2232"/>
        <w:gridCol w:w="8136"/>
      </w:tblGrid>
      <w:tr>
        <w:tc>
          <w:tcPr>
            <w:tcW w:type="dxa" w:w="2232"/>
            <w:tcW w:w="1700" w:type="dxa"/>
          </w:tcPr>
          <w:p>
            <w:pPr>
              <w:spacing w:before="0" w:after="20" w:line="220" w:lineRule="exact"/>
            </w:pPr>
            <w:r>
              <w:rPr>
                <w:rFonts w:ascii="Calibri" w:hAnsi="Calibri"/>
                <w:b/>
                <w:color w:val="1E1E1E"/>
                <w:sz w:val="19"/>
              </w:rPr>
              <w:t>Data &amp; Analytics</w:t>
            </w:r>
          </w:p>
        </w:tc>
        <w:tc>
          <w:tcPr>
            <w:tcW w:type="dxa" w:w="8136"/>
            <w:tcW w:w="7937" w:type="dxa"/>
          </w:tcPr>
          <w:p>
            <w:pPr>
              <w:spacing w:before="0" w:after="20" w:line="220" w:lineRule="exact"/>
            </w:pPr>
            <w:r>
              <w:rPr>
                <w:rFonts w:ascii="Calibri" w:hAnsi="Calibri"/>
                <w:b w:val="0"/>
                <w:color w:val="1E1E1E"/>
                <w:sz w:val="19"/>
              </w:rPr>
              <w:t>ROI, ROAS, break-even ROAS, incremental uplift vs control, KPI reporting, Looker, Power BI, SAP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2232"/>
        <w:gridCol w:w="8136"/>
      </w:tblGrid>
      <w:tr>
        <w:tc>
          <w:tcPr>
            <w:tcW w:type="dxa" w:w="2232"/>
            <w:tcW w:w="1700" w:type="dxa"/>
          </w:tcPr>
          <w:p>
            <w:pPr>
              <w:spacing w:before="0" w:after="20" w:line="220" w:lineRule="exact"/>
            </w:pPr>
            <w:r>
              <w:rPr>
                <w:rFonts w:ascii="Calibri" w:hAnsi="Calibri"/>
                <w:b/>
                <w:color w:val="1E1E1E"/>
                <w:sz w:val="19"/>
              </w:rPr>
              <w:t>Tools &amp; AI</w:t>
            </w:r>
          </w:p>
        </w:tc>
        <w:tc>
          <w:tcPr>
            <w:tcW w:type="dxa" w:w="8136"/>
            <w:tcW w:w="7937" w:type="dxa"/>
          </w:tcPr>
          <w:p>
            <w:pPr>
              <w:spacing w:before="0" w:after="20" w:line="220" w:lineRule="exact"/>
            </w:pPr>
            <w:r>
              <w:rPr>
                <w:rFonts w:ascii="Calibri" w:hAnsi="Calibri"/>
                <w:b w:val="0"/>
                <w:color w:val="1E1E1E"/>
                <w:sz w:val="19"/>
              </w:rPr>
              <w:t>Claude (AI automation), ChatGPT, Canva, Photoshop, Illustrator, Notion, Excel (Expert)</w:t>
            </w:r>
          </w:p>
        </w:tc>
      </w:tr>
    </w:tbl>
    <w:p>
      <w:pPr>
        <w:spacing w:before="80" w:after="40" w:line="230" w:lineRule="exact"/>
      </w:pPr>
      <w:r>
        <w:rPr>
          <w:rFonts w:ascii="Calibri" w:hAnsi="Calibri"/>
          <w:b/>
          <w:color w:val="2C3E50"/>
          <w:sz w:val="22"/>
        </w:rPr>
        <w:t>EDUCATION</w:t>
      </w:r>
    </w:p>
    <w:p>
      <w:pPr>
        <w:spacing w:before="0" w:after="0" w:line="60" w:lineRule="exact"/>
        <w:pBdr>
          <w:bottom w:val="single" w:sz="4" w:space="1" w:color="CCCCCC"/>
        </w:pBdr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7776"/>
        <w:gridCol w:w="2592"/>
      </w:tblGrid>
      <w:tr>
        <w:tc>
          <w:tcPr>
            <w:tcW w:type="dxa" w:w="7776"/>
          </w:tcPr>
          <w:p>
            <w:pPr>
              <w:spacing w:before="0" w:after="20" w:line="220" w:lineRule="exact"/>
            </w:pPr>
            <w:r>
              <w:rPr>
                <w:rFonts w:ascii="Calibri" w:hAnsi="Calibri"/>
                <w:b/>
                <w:color w:val="1E1E1E"/>
                <w:sz w:val="22"/>
              </w:rPr>
              <w:t>Bachelor's in Business Administration — CUNEF Universidad, Madrid</w:t>
            </w:r>
          </w:p>
        </w:tc>
        <w:tc>
          <w:tcPr>
            <w:tcW w:type="dxa" w:w="2592"/>
          </w:tcPr>
          <w:p>
            <w:pPr>
              <w:spacing w:before="0" w:after="20" w:line="220" w:lineRule="exact"/>
              <w:jc w:val="right"/>
            </w:pPr>
            <w:r>
              <w:rPr>
                <w:rFonts w:ascii="Calibri" w:hAnsi="Calibri"/>
                <w:b w:val="0"/>
                <w:color w:val="787878"/>
                <w:sz w:val="20"/>
              </w:rPr>
              <w:t>2016 – 2020</w:t>
            </w:r>
          </w:p>
        </w:tc>
      </w:tr>
    </w:tbl>
    <w:p>
      <w:pPr>
        <w:spacing w:before="80" w:after="40" w:line="230" w:lineRule="exact"/>
      </w:pPr>
      <w:r>
        <w:rPr>
          <w:rFonts w:ascii="Calibri" w:hAnsi="Calibri"/>
          <w:b w:val="0"/>
          <w:color w:val="787878"/>
          <w:sz w:val="18"/>
        </w:rPr>
        <w:t>Specialisation: E-Commerce · Fashion Industry · Thesis on e-commerce in fashion retail (9.5/10)</w:t>
      </w:r>
    </w:p>
    <w:p>
      <w:pPr>
        <w:spacing w:before="80" w:after="40" w:line="230" w:lineRule="exact"/>
      </w:pPr>
      <w:r>
        <w:rPr>
          <w:rFonts w:ascii="Calibri" w:hAnsi="Calibri"/>
          <w:b w:val="0"/>
          <w:color w:val="787878"/>
          <w:sz w:val="18"/>
        </w:rPr>
        <w:t>Google E-Commerce Certificate · Google Digital Marketing Certificate</w:t>
      </w:r>
    </w:p>
    <w:p>
      <w:pPr>
        <w:spacing w:before="80" w:after="40" w:line="230" w:lineRule="exact"/>
      </w:pPr>
      <w:r>
        <w:rPr>
          <w:rFonts w:ascii="Calibri" w:hAnsi="Calibri"/>
          <w:b/>
          <w:color w:val="2C3E50"/>
          <w:sz w:val="22"/>
        </w:rPr>
        <w:t>LANGUAGES</w:t>
      </w:r>
    </w:p>
    <w:p>
      <w:pPr>
        <w:spacing w:before="0" w:after="0" w:line="60" w:lineRule="exact"/>
        <w:pBdr>
          <w:bottom w:val="single" w:sz="4" w:space="1" w:color="CCCCCC"/>
        </w:pBdr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spacing w:before="0" w:after="20" w:line="220" w:lineRule="exact"/>
            </w:pPr>
            <w:r>
              <w:rPr>
                <w:rFonts w:ascii="Calibri" w:hAnsi="Calibri"/>
                <w:b/>
                <w:color w:val="1E1E1E"/>
                <w:sz w:val="20"/>
              </w:rPr>
              <w:t>Spanish</w:t>
            </w:r>
          </w:p>
        </w:tc>
        <w:tc>
          <w:tcPr>
            <w:tcW w:type="dxa" w:w="2493"/>
          </w:tcPr>
          <w:p>
            <w:pPr>
              <w:spacing w:before="0" w:after="20" w:line="220" w:lineRule="exact"/>
            </w:pPr>
            <w:r>
              <w:rPr>
                <w:rFonts w:ascii="Calibri" w:hAnsi="Calibri"/>
                <w:b w:val="0"/>
                <w:color w:val="1E1E1E"/>
                <w:sz w:val="20"/>
              </w:rPr>
              <w:t>Native</w:t>
            </w:r>
          </w:p>
        </w:tc>
        <w:tc>
          <w:tcPr>
            <w:tcW w:type="dxa" w:w="2493"/>
          </w:tcPr>
          <w:p>
            <w:pPr>
              <w:spacing w:before="0" w:after="20" w:line="220" w:lineRule="exact"/>
            </w:pPr>
            <w:r>
              <w:rPr>
                <w:rFonts w:ascii="Calibri" w:hAnsi="Calibri"/>
                <w:b/>
                <w:color w:val="1E1E1E"/>
                <w:sz w:val="20"/>
              </w:rPr>
              <w:t>English</w:t>
            </w:r>
          </w:p>
        </w:tc>
        <w:tc>
          <w:tcPr>
            <w:tcW w:type="dxa" w:w="2493"/>
          </w:tcPr>
          <w:p>
            <w:pPr>
              <w:spacing w:before="0" w:after="20" w:line="220" w:lineRule="exact"/>
            </w:pPr>
            <w:r>
              <w:rPr>
                <w:rFonts w:ascii="Calibri" w:hAnsi="Calibri"/>
                <w:b w:val="0"/>
                <w:color w:val="1E1E1E"/>
                <w:sz w:val="20"/>
              </w:rPr>
              <w:t>Professional C1</w:t>
            </w:r>
          </w:p>
        </w:tc>
      </w:tr>
    </w:tbl>
    <w:sectPr w:rsidR="00FC693F" w:rsidRPr="0006063C" w:rsidSect="00034616">
      <w:pgSz w:w="12240" w:h="15840"/>
      <w:pgMar w:top="648" w:right="792" w:bottom="547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