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c3e50"/>
      </w:pPr>
      <w:r>
        <w:rPr>
          <w:rFonts w:ascii="Segoe UI" w:hAnsi="Segoe UI"/>
          <w:b/>
          <w:i w:val="0"/>
          <w:color w:val="FFFFFF"/>
          <w:sz w:val="16"/>
        </w:rPr>
        <w:t xml:space="preserve"> BRAND &amp; COMPETITIVE ANALYSIS </w:t>
      </w:r>
    </w:p>
    <w:p>
      <w:pPr>
        <w:spacing w:after="40"/>
      </w:pPr>
      <w:r>
        <w:rPr>
          <w:rFonts w:ascii="Segoe UI" w:hAnsi="Segoe UI"/>
          <w:b/>
          <w:i w:val="0"/>
          <w:color w:val="2C3E50"/>
          <w:sz w:val="36"/>
        </w:rPr>
        <w:t>Brand &amp; Competitive Analysis — Opella</w:t>
      </w:r>
    </w:p>
    <w:p>
      <w:pPr>
        <w:spacing w:after="80"/>
      </w:pPr>
      <w:r>
        <w:rPr>
          <w:rFonts w:ascii="Segoe UI" w:hAnsi="Segoe UI"/>
          <w:b w:val="0"/>
          <w:i/>
          <w:color w:val="555555"/>
          <w:sz w:val="22"/>
        </w:rPr>
        <w:t>Strategic positioning assessment for Consumer Healthcare leadership in GCC/MENA markets</w:t>
      </w:r>
    </w:p>
    <w:p>
      <w:r>
        <w:rPr>
          <w:rFonts w:ascii="Segoe UI" w:hAnsi="Segoe UI"/>
          <w:b w:val="0"/>
          <w:i w:val="0"/>
          <w:color w:val="888888"/>
          <w:sz w:val="18"/>
        </w:rPr>
        <w:t>Prepared by Paula De Francisco Pérez  ·  21 May 2026  ·  For: Brand Manager at Opella</w:t>
      </w:r>
    </w:p>
    <w:p>
      <w:pPr>
        <w:pBdr>
          <w:bottom w:val="single" w:sz="12" w:color="2c3e50"/>
        </w:pBdr>
        <w:spacing w:before="40" w:after="160"/>
      </w:pPr>
    </w:p>
    <w:p>
      <w:pPr>
        <w:spacing w:before="160" w:after="40"/>
        <w:pBdr>
          <w:left w:val="single" w:sz="18" w:color="2c3e50" w:space="8"/>
        </w:pBdr>
      </w:pPr>
      <w:r>
        <w:rPr>
          <w:rFonts w:ascii="Segoe UI" w:hAnsi="Segoe UI"/>
          <w:b/>
          <w:i w:val="0"/>
          <w:color w:val="2C3E50"/>
          <w:sz w:val="24"/>
        </w:rPr>
        <w:t>1. Brand Portfolio Positioning vs. Market Leaders</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 positions itself as the 'self-care challenger' with the third-largest OTC/VMS portfolio globally, competing against established leaders like Bayer Consumer Health and Johnson &amp; Johnson Consumer Products in the GCC market.</w:t>
      </w:r>
    </w:p>
    <w:p>
      <w:pPr>
        <w:spacing w:after="60"/>
        <w:ind w:left="170"/>
      </w:pPr>
      <w:r>
        <w:rPr>
          <w:rFonts w:ascii="Segoe UI" w:hAnsi="Segoe UI"/>
          <w:b/>
          <w:i w:val="0"/>
          <w:color w:val="1A1A1A"/>
          <w:sz w:val="20"/>
        </w:rPr>
        <w:t xml:space="preserve">Insight: </w:t>
      </w:r>
      <w:r>
        <w:rPr>
          <w:rFonts w:ascii="Segoe UI" w:hAnsi="Segoe UI"/>
          <w:b w:val="0"/>
          <w:i w:val="0"/>
          <w:color w:val="1A1A1A"/>
          <w:sz w:val="20"/>
        </w:rPr>
        <w:t>While Opella's challenger positioning differentiates it from legacy pharma players, it risks being overshadowed by Bayer's Aspirin/Aleve dominance and J&amp;J's Tylenol franchise in pain relief, plus their stronger regional medical credibility and healthcare professional relationships.</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Leverage the 'challenger' narrative to emphasize innovation and consumer-centricity, while building strategic partnerships with local healthcare networks to compete on medical credibility in key therapeutic areas.</w:t>
      </w:r>
    </w:p>
    <w:p>
      <w:pPr>
        <w:spacing w:before="160" w:after="40"/>
        <w:pBdr>
          <w:left w:val="single" w:sz="18" w:color="2c3e50" w:space="8"/>
        </w:pBdr>
      </w:pPr>
      <w:r>
        <w:rPr>
          <w:rFonts w:ascii="Segoe UI" w:hAnsi="Segoe UI"/>
          <w:b/>
          <w:i w:val="0"/>
          <w:color w:val="2C3E50"/>
          <w:sz w:val="24"/>
        </w:rPr>
        <w:t>2. Target Audience Definition Against Regional Competitors</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 targets 'half a billion consumers worldwide' with a self-care focus, competing with Pfizer Consumer Healthcare's targeted approach to specific health conditions and Haleon's broader wellness positioning in the MENA region.</w:t>
      </w:r>
    </w:p>
    <w:p>
      <w:pPr>
        <w:spacing w:after="60"/>
        <w:ind w:left="170"/>
      </w:pPr>
      <w:r>
        <w:rPr>
          <w:rFonts w:ascii="Segoe UI" w:hAnsi="Segoe UI"/>
          <w:b/>
          <w:i w:val="0"/>
          <w:color w:val="1A1A1A"/>
          <w:sz w:val="20"/>
        </w:rPr>
        <w:t xml:space="preserve">Insight: </w:t>
      </w:r>
      <w:r>
        <w:rPr>
          <w:rFonts w:ascii="Segoe UI" w:hAnsi="Segoe UI"/>
          <w:b w:val="0"/>
          <w:i w:val="0"/>
          <w:color w:val="1A1A1A"/>
          <w:sz w:val="20"/>
        </w:rPr>
        <w:t>The broad consumer targeting lacks the precision of competitors who segment by life stages (Haleon's family focus) or health conditions (Pfizer's symptom-specific messaging), potentially diluting marketing effectiveness in culturally diverse GCC markets.</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Develop localized consumer personas for GCC markets, segmenting by cultural health beliefs, family decision-making patterns, and preferred purchase channels (pharmacy vs. retail vs. e-commerce).</w:t>
      </w:r>
    </w:p>
    <w:p>
      <w:pPr>
        <w:spacing w:before="160" w:after="40"/>
        <w:pBdr>
          <w:left w:val="single" w:sz="18" w:color="2c3e50" w:space="8"/>
        </w:pBdr>
      </w:pPr>
      <w:r>
        <w:rPr>
          <w:rFonts w:ascii="Segoe UI" w:hAnsi="Segoe UI"/>
          <w:b/>
          <w:i w:val="0"/>
          <w:color w:val="2C3E50"/>
          <w:sz w:val="24"/>
        </w:rPr>
        <w:t>3. Product Differentiation in Therapeutic Categories</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Opella's portfolio spans digestive health (Buscopan, Dulcolax), respiratory (Mucosolvan), and liver health (Essentiale) competing against Bayer's broader pain/cold portfolio and J&amp;J's comprehensive OTC range including Zyrtec and Benadryl.</w:t>
      </w:r>
    </w:p>
    <w:p>
      <w:pPr>
        <w:spacing w:after="60"/>
        <w:ind w:left="170"/>
      </w:pPr>
      <w:r>
        <w:rPr>
          <w:rFonts w:ascii="Segoe UI" w:hAnsi="Segoe UI"/>
          <w:b/>
          <w:i w:val="0"/>
          <w:color w:val="1A1A1A"/>
          <w:sz w:val="20"/>
        </w:rPr>
        <w:t xml:space="preserve">Insight: </w:t>
      </w:r>
      <w:r>
        <w:rPr>
          <w:rFonts w:ascii="Segoe UI" w:hAnsi="Segoe UI"/>
          <w:b w:val="0"/>
          <w:i w:val="0"/>
          <w:color w:val="1A1A1A"/>
          <w:sz w:val="20"/>
        </w:rPr>
        <w:t>While competitors focus on high-frequency categories like pain relief and cold/flu, Opella's strength in digestive and liver health aligns well with regional dietary patterns and lifestyle concerns, but lacks visibility in high-traffic categories.</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Double down on digestive health leadership as a regional differentiator while exploring strategic licensing or partnerships to compete in pain relief and allergy categories where traffic is higher.</w:t>
      </w:r>
    </w:p>
    <w:p>
      <w:pPr>
        <w:spacing w:before="160" w:after="40"/>
        <w:pBdr>
          <w:left w:val="single" w:sz="18" w:color="2c3e50" w:space="8"/>
        </w:pBdr>
      </w:pPr>
      <w:r>
        <w:rPr>
          <w:rFonts w:ascii="Segoe UI" w:hAnsi="Segoe UI"/>
          <w:b/>
          <w:i w:val="0"/>
          <w:color w:val="2C3E50"/>
          <w:sz w:val="24"/>
        </w:rPr>
        <w:t>4. Market Gap: Digital Health Integration</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Opella's B Corp certification and sustainability focus contrasts with competitors' limited ESG messaging, while the regional market shows growing demand for digital health solutions and telehealth integration.</w:t>
      </w:r>
    </w:p>
    <w:p>
      <w:pPr>
        <w:spacing w:after="60"/>
        <w:ind w:left="170"/>
      </w:pPr>
      <w:r>
        <w:rPr>
          <w:rFonts w:ascii="Segoe UI" w:hAnsi="Segoe UI"/>
          <w:b/>
          <w:i w:val="0"/>
          <w:color w:val="1A1A1A"/>
          <w:sz w:val="20"/>
        </w:rPr>
        <w:t xml:space="preserve">Insight: </w:t>
      </w:r>
      <w:r>
        <w:rPr>
          <w:rFonts w:ascii="Segoe UI" w:hAnsi="Segoe UI"/>
          <w:b w:val="0"/>
          <w:i w:val="0"/>
          <w:color w:val="1A1A1A"/>
          <w:sz w:val="20"/>
        </w:rPr>
        <w:t>Traditional OTC players in MENA have been slow to integrate digital health tools, creating an opportunity for Opella to lead in connected health experiences, especially relevant for chronic conditions like diabetes management where their portfolio could expand.</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Develop a digital health platform connecting Opella products with wellness tracking, particularly for digestive and liver health, leveraging B Corp credentials to build trust in data privacy and ethical health practices.</w:t>
      </w:r>
    </w:p>
    <w:p>
      <w:pPr>
        <w:spacing w:before="160" w:after="40"/>
        <w:pBdr>
          <w:left w:val="single" w:sz="18" w:color="2c3e50" w:space="8"/>
        </w:pBdr>
      </w:pPr>
      <w:r>
        <w:rPr>
          <w:rFonts w:ascii="Segoe UI" w:hAnsi="Segoe UI"/>
          <w:b/>
          <w:i w:val="0"/>
          <w:color w:val="2C3E50"/>
          <w:sz w:val="24"/>
        </w:rPr>
        <w:t>5. Competitive Vulnerabilities and Market Entry Strategy</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Opella's French headquarters and global manufacturing footprint competes against Bayer's German engineering reputation and J&amp;J's American innovation perception, while local preferences often favor European pharmaceutical heritage.</w:t>
      </w:r>
    </w:p>
    <w:p>
      <w:pPr>
        <w:spacing w:after="60"/>
        <w:ind w:left="170"/>
      </w:pPr>
      <w:r>
        <w:rPr>
          <w:rFonts w:ascii="Segoe UI" w:hAnsi="Segoe UI"/>
          <w:b/>
          <w:i w:val="0"/>
          <w:color w:val="1A1A1A"/>
          <w:sz w:val="20"/>
        </w:rPr>
        <w:t xml:space="preserve">Insight: </w:t>
      </w:r>
      <w:r>
        <w:rPr>
          <w:rFonts w:ascii="Segoe UI" w:hAnsi="Segoe UI"/>
          <w:b w:val="0"/>
          <w:i w:val="0"/>
          <w:color w:val="1A1A1A"/>
          <w:sz w:val="20"/>
        </w:rPr>
        <w:t>French pharmaceutical heritage carries strong credibility in MENA markets historically, but Opella lacks the marketing investment levels of multinational competitors who can afford premium media placements and extensive sampling programs.</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Emphasize French pharmaceutical expertise and European quality standards in positioning, while optimizing marketing spend through performance digital channels and strategic pharmacy partnerships rather than competing on traditional media spend.</w:t>
      </w:r>
    </w:p>
    <w:p>
      <w:pPr>
        <w:pBdr>
          <w:top w:val="single" w:sz="6" w:color="DDDDDD"/>
        </w:pBdr>
        <w:spacing w:before="280"/>
      </w:pPr>
      <w:r>
        <w:rPr>
          <w:rFonts w:ascii="Segoe UI" w:hAnsi="Segoe UI"/>
          <w:b w:val="0"/>
          <w:i/>
          <w:color w:val="444444"/>
          <w:sz w:val="20"/>
        </w:rPr>
        <w:t>Paula's cross-sector experience from FMCG brand building to digital commerce execution positions her uniquely to navigate Opella's challenger strategy while leveraging data-driven insights to compete effectively against established healthcare giants in the region.</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b w:val="0"/>
        <w:i w:val="0"/>
        <w:color w:val="888888"/>
        <w:sz w:val="16"/>
      </w:rPr>
      <w:t>Paula De Francisco Pérez  ·  paulich98@hotmail.com  ·  https://linkedin.com/in/paula-de-francisco-perez  ·  +971 50 386 3656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