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color w:val="1E1E1E"/>
          <w:sz w:val="22"/>
        </w:rPr>
        <w:t>08 July 2026</w:t>
      </w:r>
    </w:p>
    <w:p/>
    <w:p>
      <w:r>
        <w:rPr>
          <w:rFonts w:ascii="Calibri" w:hAnsi="Calibri"/>
          <w:b w:val="0"/>
          <w:color w:val="1E1E1E"/>
          <w:sz w:val="22"/>
        </w:rPr>
        <w:t>Dear Paloma,</w:t>
      </w:r>
    </w:p>
    <w:p/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I'm applying for the Marketplace Key Account Manager role as Gloria Jeans builds its GCC business out of Dubai and makes third-party marketplaces a core growth lever. Launching a value-fashion brand on Noon, Amazon.ae and Namshi — building awareness and trade before the stores arrive — is exactly the kind of commercial, digital-first challenge I've spent my career on.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On Alibaba's Miravia marketplace I managed 42 key accounts and delivered +30% GMV growth quarter-over-quarter through pricing, assortment and promotions, while owning the Flash Sales channel P&amp;L and reporting directly to the CEO. At Glovo I helped build the Retail vertical from scratch, onboarding fashion brands onto the marketplace; today at DoFreeze I run end-to-end integration across the UAE's quick-commerce platforms. Marketplace onboarding, assortment curation, promotional calendars and margin ownership are my daily work.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Three things set me apart here: hands-on experience across GCC quick-commerce marketplaces — Noon, Talabat, Careem and Deliveroo — which is rare in this market; a fashion-retail foundation trained inside Inditex (Massimo Dutti), aligned with the ex-Inditex e-commerce expertise Gloria Jeans is building in Dubai; and I'm already based here on a UAE residence visa, so there is zero relocation cost or timeline. I'm also AI-first, having built automation that cut planning and reporting time ~40%.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I'd welcome 15 minutes to discuss how I can help launch and scale Gloria Jeans across GCC marketplaces. I'm available immediately and happy to share concrete examples of my marketplace and key-account work. Thank you for your consideration.</w:t>
      </w:r>
    </w:p>
    <w:p/>
    <w:p>
      <w:r>
        <w:rPr>
          <w:rFonts w:ascii="Calibri" w:hAnsi="Calibri"/>
          <w:b w:val="0"/>
          <w:color w:val="1E1E1E"/>
          <w:sz w:val="22"/>
        </w:rPr>
        <w:t>Best regards,</w:t>
      </w:r>
    </w:p>
    <w:p/>
    <w:p>
      <w:r>
        <w:rPr>
          <w:rFonts w:ascii="Calibri" w:hAnsi="Calibri"/>
          <w:b/>
          <w:color w:val="1E1E1E"/>
          <w:sz w:val="22"/>
        </w:rPr>
        <w:t>Paula De Francisco Pérez</w:t>
      </w:r>
    </w:p>
    <w:p>
      <w:r>
        <w:rPr>
          <w:rFonts w:ascii="Calibri" w:hAnsi="Calibri"/>
          <w:b w:val="0"/>
          <w:color w:val="787878"/>
          <w:sz w:val="20"/>
        </w:rPr>
        <w:t>+971 50 386 3656 | paulich98@hotmail.com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