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c3e50"/>
      </w:pPr>
      <w:r>
        <w:rPr>
          <w:rFonts w:ascii="Segoe UI" w:hAnsi="Segoe UI"/>
          <w:b/>
          <w:i w:val="0"/>
          <w:color w:val="FFFFFF"/>
          <w:sz w:val="16"/>
        </w:rPr>
        <w:t xml:space="preserve"> DIGITAL PRESENCE INSIGHTS </w:t>
      </w:r>
    </w:p>
    <w:p>
      <w:pPr>
        <w:spacing w:after="40"/>
      </w:pPr>
      <w:r>
        <w:rPr>
          <w:rFonts w:ascii="Segoe UI" w:hAnsi="Segoe UI"/>
          <w:b/>
          <w:i w:val="0"/>
          <w:color w:val="2C3E50"/>
          <w:sz w:val="36"/>
        </w:rPr>
        <w:t>Digital Presence Insights — Opella</w:t>
      </w:r>
    </w:p>
    <w:p>
      <w:pPr>
        <w:spacing w:after="80"/>
      </w:pPr>
      <w:r>
        <w:rPr>
          <w:rFonts w:ascii="Segoe UI" w:hAnsi="Segoe UI"/>
          <w:b w:val="0"/>
          <w:i/>
          <w:color w:val="555555"/>
          <w:sz w:val="22"/>
        </w:rPr>
        <w:t>Strategic brand positioning analysis for consumer healthcare market leadership in UAE</w:t>
      </w:r>
    </w:p>
    <w:p>
      <w:r>
        <w:rPr>
          <w:rFonts w:ascii="Segoe UI" w:hAnsi="Segoe UI"/>
          <w:b w:val="0"/>
          <w:i w:val="0"/>
          <w:color w:val="888888"/>
          <w:sz w:val="18"/>
        </w:rPr>
        <w:t>Prepared by Paula De Francisco Pérez  ·  21 May 2026  ·  For: Brand Manager at Opella</w:t>
      </w:r>
    </w:p>
    <w:p>
      <w:pPr>
        <w:pBdr>
          <w:bottom w:val="single" w:sz="12" w:color="2c3e50"/>
        </w:pBdr>
        <w:spacing w:before="40" w:after="160"/>
      </w:pPr>
    </w:p>
    <w:p>
      <w:pPr>
        <w:spacing w:before="160" w:after="40"/>
        <w:pBdr>
          <w:left w:val="single" w:sz="18" w:color="2c3e50" w:space="8"/>
        </w:pBdr>
      </w:pPr>
      <w:r>
        <w:rPr>
          <w:rFonts w:ascii="Segoe UI" w:hAnsi="Segoe UI"/>
          <w:b/>
          <w:i w:val="0"/>
          <w:color w:val="2C3E50"/>
          <w:sz w:val="24"/>
        </w:rPr>
        <w:t>1. Brand Portfolio Visibility &amp; Consumer Journey Mapping</w:t>
      </w:r>
    </w:p>
    <w:p>
      <w:pPr>
        <w:spacing w:after="60"/>
        <w:ind w:left="170"/>
      </w:pPr>
      <w:r>
        <w:rPr>
          <w:rFonts w:ascii="Segoe UI" w:hAnsi="Segoe UI"/>
          <w:b/>
          <w:i w:val="0"/>
          <w:color w:val="1A1A1A"/>
          <w:sz w:val="20"/>
        </w:rPr>
        <w:t xml:space="preserve">Finding: </w:t>
      </w:r>
      <w:r>
        <w:rPr>
          <w:rFonts w:ascii="Segoe UI" w:hAnsi="Segoe UI"/>
          <w:b w:val="0"/>
          <w:i w:val="0"/>
          <w:color w:val="1A1A1A"/>
          <w:sz w:val="20"/>
        </w:rPr>
        <w:t>Opella's 100+ brand portfolio requires sophisticated digital architecture to guide consumers through diverse OTC and VMS categories without overwhelming choice paralysis, particularly for brands like Allegra, Dulcolax, and Mucosolvan that serve different health needs.</w:t>
      </w:r>
    </w:p>
    <w:p>
      <w:pPr>
        <w:spacing w:after="60"/>
        <w:ind w:left="170"/>
      </w:pPr>
      <w:r>
        <w:rPr>
          <w:rFonts w:ascii="Segoe UI" w:hAnsi="Segoe UI"/>
          <w:b/>
          <w:i w:val="0"/>
          <w:color w:val="1A1A1A"/>
          <w:sz w:val="20"/>
        </w:rPr>
        <w:t xml:space="preserve">Insight: </w:t>
      </w:r>
      <w:r>
        <w:rPr>
          <w:rFonts w:ascii="Segoe UI" w:hAnsi="Segoe UI"/>
          <w:b w:val="0"/>
          <w:i w:val="0"/>
          <w:color w:val="1A1A1A"/>
          <w:sz w:val="20"/>
        </w:rPr>
        <w:t>In UAE's multicultural market, consumers often research health solutions across multiple touchpoints before purchase, making clear brand differentiation and seamless digital navigation critical for conversion and brand recall.</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Implement category-specific landing pages with symptom-based navigation and multilingual content (English/Arabic) that connect consumer pain points to specific brand solutions, supported by clear product comparison tools.</w:t>
      </w:r>
    </w:p>
    <w:p>
      <w:pPr>
        <w:spacing w:before="160" w:after="40"/>
        <w:pBdr>
          <w:left w:val="single" w:sz="18" w:color="2c3e50" w:space="8"/>
        </w:pBdr>
      </w:pPr>
      <w:r>
        <w:rPr>
          <w:rFonts w:ascii="Segoe UI" w:hAnsi="Segoe UI"/>
          <w:b/>
          <w:i w:val="0"/>
          <w:color w:val="2C3E50"/>
          <w:sz w:val="24"/>
        </w:rPr>
        <w:t>2. B Corp Certification &amp; Sustainability Messaging Integration</w:t>
      </w:r>
    </w:p>
    <w:p>
      <w:pPr>
        <w:spacing w:after="60"/>
        <w:ind w:left="170"/>
      </w:pPr>
      <w:r>
        <w:rPr>
          <w:rFonts w:ascii="Segoe UI" w:hAnsi="Segoe UI"/>
          <w:b/>
          <w:i w:val="0"/>
          <w:color w:val="1A1A1A"/>
          <w:sz w:val="20"/>
        </w:rPr>
        <w:t xml:space="preserve">Finding: </w:t>
      </w:r>
      <w:r>
        <w:rPr>
          <w:rFonts w:ascii="Segoe UI" w:hAnsi="Segoe UI"/>
          <w:b w:val="0"/>
          <w:i w:val="0"/>
          <w:color w:val="1A1A1A"/>
          <w:sz w:val="20"/>
        </w:rPr>
        <w:t>Opella's B Corp certification across multiple markets represents a significant competitive advantage that needs prominent digital integration, especially given UAE consumers' growing sustainability consciousness and preference for purpose-driven brands.</w:t>
      </w:r>
    </w:p>
    <w:p>
      <w:pPr>
        <w:spacing w:after="60"/>
        <w:ind w:left="170"/>
      </w:pPr>
      <w:r>
        <w:rPr>
          <w:rFonts w:ascii="Segoe UI" w:hAnsi="Segoe UI"/>
          <w:b/>
          <w:i w:val="0"/>
          <w:color w:val="1A1A1A"/>
          <w:sz w:val="20"/>
        </w:rPr>
        <w:t xml:space="preserve">Insight: </w:t>
      </w:r>
      <w:r>
        <w:rPr>
          <w:rFonts w:ascii="Segoe UI" w:hAnsi="Segoe UI"/>
          <w:b w:val="0"/>
          <w:i w:val="0"/>
          <w:color w:val="1A1A1A"/>
          <w:sz w:val="20"/>
        </w:rPr>
        <w:t>Sustainability credentials directly impact purchase decisions in premium healthcare segments, with younger UAE demographics particularly valuing brands that demonstrate genuine environmental and social responsibility.</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Create dedicated sustainability hub showcasing B Corp achievements, local community initiatives, and environmental impact metrics, integrated into product pages and brand storytelling across all digital touchpoints.</w:t>
      </w:r>
    </w:p>
    <w:p>
      <w:pPr>
        <w:spacing w:before="160" w:after="40"/>
        <w:pBdr>
          <w:left w:val="single" w:sz="18" w:color="2c3e50" w:space="8"/>
        </w:pBdr>
      </w:pPr>
      <w:r>
        <w:rPr>
          <w:rFonts w:ascii="Segoe UI" w:hAnsi="Segoe UI"/>
          <w:b/>
          <w:i w:val="0"/>
          <w:color w:val="2C3E50"/>
          <w:sz w:val="24"/>
        </w:rPr>
        <w:t>3. Cross-Functional Digital Ecosystem Optimization</w:t>
      </w:r>
    </w:p>
    <w:p>
      <w:pPr>
        <w:spacing w:after="60"/>
        <w:ind w:left="170"/>
      </w:pPr>
      <w:r>
        <w:rPr>
          <w:rFonts w:ascii="Segoe UI" w:hAnsi="Segoe UI"/>
          <w:b/>
          <w:i w:val="0"/>
          <w:color w:val="1A1A1A"/>
          <w:sz w:val="20"/>
        </w:rPr>
        <w:t xml:space="preserve">Finding: </w:t>
      </w:r>
      <w:r>
        <w:rPr>
          <w:rFonts w:ascii="Segoe UI" w:hAnsi="Segoe UI"/>
          <w:b w:val="0"/>
          <w:i w:val="0"/>
          <w:color w:val="1A1A1A"/>
          <w:sz w:val="20"/>
        </w:rPr>
        <w:t>The role requires collaboration with medical, digital, commercial, and regional teams, indicating need for unified digital platforms that support both HCP engagement and consumer-facing brand experiences while maintaining regulatory compliance.</w:t>
      </w:r>
    </w:p>
    <w:p>
      <w:pPr>
        <w:spacing w:after="60"/>
        <w:ind w:left="170"/>
      </w:pPr>
      <w:r>
        <w:rPr>
          <w:rFonts w:ascii="Segoe UI" w:hAnsi="Segoe UI"/>
          <w:b/>
          <w:i w:val="0"/>
          <w:color w:val="1A1A1A"/>
          <w:sz w:val="20"/>
        </w:rPr>
        <w:t xml:space="preserve">Insight: </w:t>
      </w:r>
      <w:r>
        <w:rPr>
          <w:rFonts w:ascii="Segoe UI" w:hAnsi="Segoe UI"/>
          <w:b w:val="0"/>
          <w:i w:val="0"/>
          <w:color w:val="1A1A1A"/>
          <w:sz w:val="20"/>
        </w:rPr>
        <w:t>Healthcare marketing demands dual-audience approach where medical credibility supports consumer trust, requiring sophisticated content management that serves both professional and consumer needs without compromising either.</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Develop integrated digital platform with role-based access controlling medical vs. consumer content, featuring HCP portal for clinical data while maintaining consumer-friendly brand experiences with clear regulatory disclaimers.</w:t>
      </w:r>
    </w:p>
    <w:p>
      <w:pPr>
        <w:spacing w:before="160" w:after="40"/>
        <w:pBdr>
          <w:left w:val="single" w:sz="18" w:color="2c3e50" w:space="8"/>
        </w:pBdr>
      </w:pPr>
      <w:r>
        <w:rPr>
          <w:rFonts w:ascii="Segoe UI" w:hAnsi="Segoe UI"/>
          <w:b/>
          <w:i w:val="0"/>
          <w:color w:val="2C3E50"/>
          <w:sz w:val="24"/>
        </w:rPr>
        <w:t>4. Market Analytics &amp; Competition Intelligence Dashboard</w:t>
      </w:r>
    </w:p>
    <w:p>
      <w:pPr>
        <w:spacing w:after="60"/>
        <w:ind w:left="170"/>
      </w:pPr>
      <w:r>
        <w:rPr>
          <w:rFonts w:ascii="Segoe UI" w:hAnsi="Segoe UI"/>
          <w:b/>
          <w:i w:val="0"/>
          <w:color w:val="1A1A1A"/>
          <w:sz w:val="20"/>
        </w:rPr>
        <w:t xml:space="preserve">Finding: </w:t>
      </w:r>
      <w:r>
        <w:rPr>
          <w:rFonts w:ascii="Segoe UI" w:hAnsi="Segoe UI"/>
          <w:b w:val="0"/>
          <w:i w:val="0"/>
          <w:color w:val="1A1A1A"/>
          <w:sz w:val="20"/>
        </w:rPr>
        <w:t>Brand manager role emphasizes analytics-driven decision making and competition understanding, requiring robust digital infrastructure for real-time market intelligence and performance tracking across ATL/BTL investments.</w:t>
      </w:r>
    </w:p>
    <w:p>
      <w:pPr>
        <w:spacing w:after="60"/>
        <w:ind w:left="170"/>
      </w:pPr>
      <w:r>
        <w:rPr>
          <w:rFonts w:ascii="Segoe UI" w:hAnsi="Segoe UI"/>
          <w:b/>
          <w:i w:val="0"/>
          <w:color w:val="1A1A1A"/>
          <w:sz w:val="20"/>
        </w:rPr>
        <w:t xml:space="preserve">Insight: </w:t>
      </w:r>
      <w:r>
        <w:rPr>
          <w:rFonts w:ascii="Segoe UI" w:hAnsi="Segoe UI"/>
          <w:b w:val="0"/>
          <w:i w:val="0"/>
          <w:color w:val="1A1A1A"/>
          <w:sz w:val="20"/>
        </w:rPr>
        <w:t>UAE's competitive healthcare market demands agile response to competitor moves and consumer behavior shifts, making real-time data access critical for budget allocation and campaign optimization decisions.</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Implement comprehensive analytics dashboard integrating website performance, social listening, competitor tracking, and sales data to enable data-driven investment decisions and rapid strategy pivots.</w:t>
      </w:r>
    </w:p>
    <w:p>
      <w:pPr>
        <w:spacing w:before="160" w:after="40"/>
        <w:pBdr>
          <w:left w:val="single" w:sz="18" w:color="2c3e50" w:space="8"/>
        </w:pBdr>
      </w:pPr>
      <w:r>
        <w:rPr>
          <w:rFonts w:ascii="Segoe UI" w:hAnsi="Segoe UI"/>
          <w:b/>
          <w:i w:val="0"/>
          <w:color w:val="2C3E50"/>
          <w:sz w:val="24"/>
        </w:rPr>
        <w:t>5. Mobile-First Consumer Experience for Self-Care Journey</w:t>
      </w:r>
    </w:p>
    <w:p>
      <w:pPr>
        <w:spacing w:after="60"/>
        <w:ind w:left="170"/>
      </w:pPr>
      <w:r>
        <w:rPr>
          <w:rFonts w:ascii="Segoe UI" w:hAnsi="Segoe UI"/>
          <w:b/>
          <w:i w:val="0"/>
          <w:color w:val="1A1A1A"/>
          <w:sz w:val="20"/>
        </w:rPr>
        <w:t xml:space="preserve">Finding: </w:t>
      </w:r>
      <w:r>
        <w:rPr>
          <w:rFonts w:ascii="Segoe UI" w:hAnsi="Segoe UI"/>
          <w:b w:val="0"/>
          <w:i w:val="0"/>
          <w:color w:val="1A1A1A"/>
          <w:sz w:val="20"/>
        </w:rPr>
        <w:t>Opella's mission to make self-care simple for 500+ million consumers globally requires mobile-optimized digital experiences that facilitate easy product discovery, education, and purchase consideration in UAE's mobile-first market.</w:t>
      </w:r>
    </w:p>
    <w:p>
      <w:pPr>
        <w:spacing w:after="60"/>
        <w:ind w:left="170"/>
      </w:pPr>
      <w:r>
        <w:rPr>
          <w:rFonts w:ascii="Segoe UI" w:hAnsi="Segoe UI"/>
          <w:b/>
          <w:i w:val="0"/>
          <w:color w:val="1A1A1A"/>
          <w:sz w:val="20"/>
        </w:rPr>
        <w:t xml:space="preserve">Insight: </w:t>
      </w:r>
      <w:r>
        <w:rPr>
          <w:rFonts w:ascii="Segoe UI" w:hAnsi="Segoe UI"/>
          <w:b w:val="0"/>
          <w:i w:val="0"/>
          <w:color w:val="1A1A1A"/>
          <w:sz w:val="20"/>
        </w:rPr>
        <w:t>UAE consumers predominantly research healthcare solutions on mobile devices, often during moments of need, requiring instant access to symptom relief information and product availability across multiple retail channels.</w:t>
      </w:r>
    </w:p>
    <w:p>
      <w:pPr>
        <w:spacing w:after="60"/>
        <w:ind w:left="170"/>
      </w:pPr>
      <w:r>
        <w:rPr>
          <w:rFonts w:ascii="Segoe UI" w:hAnsi="Segoe UI"/>
          <w:b/>
          <w:i w:val="0"/>
          <w:color w:val="1A6B3C"/>
          <w:sz w:val="20"/>
        </w:rPr>
        <w:t xml:space="preserve">Recommendation: </w:t>
      </w:r>
      <w:r>
        <w:rPr>
          <w:rFonts w:ascii="Segoe UI" w:hAnsi="Segoe UI"/>
          <w:b w:val="0"/>
          <w:i w:val="0"/>
          <w:color w:val="1A6B3C"/>
          <w:sz w:val="20"/>
        </w:rPr>
        <w:t>Optimize mobile experience with symptom checker tools, store locator integration with major UAE pharmacy chains, and WhatsApp Business integration for customer support, ensuring sub-3-second load times across all brand touchpoints.</w:t>
      </w:r>
    </w:p>
    <w:p>
      <w:pPr>
        <w:pBdr>
          <w:top w:val="single" w:sz="6" w:color="DDDDDD"/>
        </w:pBdr>
        <w:spacing w:before="280"/>
      </w:pPr>
      <w:r>
        <w:rPr>
          <w:rFonts w:ascii="Segoe UI" w:hAnsi="Segoe UI"/>
          <w:b w:val="0"/>
          <w:i/>
          <w:color w:val="444444"/>
          <w:sz w:val="20"/>
        </w:rPr>
        <w:t>These insights reflect deep understanding of UAE's consumer healthcare landscape and demonstrate ability to translate Opella's global brand strategy into locally relevant digital execution that drives both brand growth and consumer trust.</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b w:val="0"/>
        <w:i w:val="0"/>
        <w:color w:val="888888"/>
        <w:sz w:val="16"/>
      </w:rPr>
      <w:t>Paula De Francisco Pérez  ·  paulich98@hotmail.com  ·  https://linkedin.com/in/paula-de-francisco-perez  ·  +971 50 386 3656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