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c3e50"/>
      </w:pPr>
      <w:r>
        <w:rPr>
          <w:rFonts w:ascii="Segoe UI" w:hAnsi="Segoe UI"/>
          <w:b/>
          <w:i w:val="0"/>
          <w:color w:val="FFFFFF"/>
          <w:sz w:val="16"/>
        </w:rPr>
        <w:t xml:space="preserve"> E-COMMERCE &amp; QUICK-COMMERCE ANALYSIS </w:t>
      </w:r>
    </w:p>
    <w:p>
      <w:pPr>
        <w:spacing w:after="40"/>
      </w:pPr>
      <w:r>
        <w:rPr>
          <w:rFonts w:ascii="Segoe UI" w:hAnsi="Segoe UI"/>
          <w:b/>
          <w:i w:val="0"/>
          <w:color w:val="2C3E50"/>
          <w:sz w:val="36"/>
        </w:rPr>
        <w:t>E-Commerce &amp; Quick-Commerce Analysis — Opella</w:t>
      </w:r>
    </w:p>
    <w:p>
      <w:pPr>
        <w:spacing w:after="80"/>
      </w:pPr>
      <w:r>
        <w:rPr>
          <w:rFonts w:ascii="Segoe UI" w:hAnsi="Segoe UI"/>
          <w:b w:val="0"/>
          <w:i/>
          <w:color w:val="555555"/>
          <w:sz w:val="22"/>
        </w:rPr>
        <w:t>Strategic digital retail assessment for OTC &amp; VMS brand optimization in the UAE market</w:t>
      </w:r>
    </w:p>
    <w:p>
      <w:r>
        <w:rPr>
          <w:rFonts w:ascii="Segoe UI" w:hAnsi="Segoe UI"/>
          <w:b w:val="0"/>
          <w:i w:val="0"/>
          <w:color w:val="888888"/>
          <w:sz w:val="18"/>
        </w:rPr>
        <w:t>Prepared by Paula De Francisco Pérez  ·  21 May 2026  ·  For: Brand Manager at Opella</w:t>
      </w:r>
    </w:p>
    <w:p>
      <w:pPr>
        <w:pBdr>
          <w:bottom w:val="single" w:sz="12" w:color="2c3e50"/>
        </w:pBdr>
        <w:spacing w:before="40" w:after="160"/>
      </w:pPr>
    </w:p>
    <w:p>
      <w:pPr>
        <w:spacing w:before="160" w:after="40"/>
        <w:pBdr>
          <w:left w:val="single" w:sz="18" w:color="2c3e50" w:space="8"/>
        </w:pBdr>
      </w:pPr>
      <w:r>
        <w:rPr>
          <w:rFonts w:ascii="Segoe UI" w:hAnsi="Segoe UI"/>
          <w:b/>
          <w:i w:val="0"/>
          <w:color w:val="2C3E50"/>
          <w:sz w:val="24"/>
        </w:rPr>
        <w:t>1. Multi-Channel Product Listing Strategy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Finding: </w:t>
      </w:r>
      <w:r>
        <w:rPr>
          <w:rFonts w:ascii="Segoe UI" w:hAnsi="Segoe UI"/>
          <w:b w:val="0"/>
          <w:i w:val="0"/>
          <w:color w:val="1A1A1A"/>
          <w:sz w:val="20"/>
        </w:rPr>
        <w:t>OTC and VMS brands require distinct approaches across Noon, Amazon.ae, and pharmacy-focused platforms, with regulatory compliance being critical for health products in the UAE market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Insight: </w:t>
      </w:r>
      <w:r>
        <w:rPr>
          <w:rFonts w:ascii="Segoe UI" w:hAnsi="Segoe UI"/>
          <w:b w:val="0"/>
          <w:i w:val="0"/>
          <w:color w:val="1A1A1A"/>
          <w:sz w:val="20"/>
        </w:rPr>
        <w:t>Healthcare products face stricter advertising guidelines and require trust-building elements like certifications, ingredient transparency, and educational content to convert browsers into buyers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6B3C"/>
          <w:sz w:val="20"/>
        </w:rPr>
        <w:t xml:space="preserve">Recommendation: </w:t>
      </w:r>
      <w:r>
        <w:rPr>
          <w:rFonts w:ascii="Segoe UI" w:hAnsi="Segoe UI"/>
          <w:b w:val="0"/>
          <w:i w:val="0"/>
          <w:color w:val="1A6B3C"/>
          <w:sz w:val="20"/>
        </w:rPr>
        <w:t>Develop platform-specific A+ content highlighting regulatory approvals, ingredient benefits, and usage instructions. Create dedicated health &amp; wellness brand stores on major platforms with cross-selling opportunities between complementary products</w:t>
      </w:r>
    </w:p>
    <w:p>
      <w:pPr>
        <w:spacing w:before="160" w:after="40"/>
        <w:pBdr>
          <w:left w:val="single" w:sz="18" w:color="2c3e50" w:space="8"/>
        </w:pBdr>
      </w:pPr>
      <w:r>
        <w:rPr>
          <w:rFonts w:ascii="Segoe UI" w:hAnsi="Segoe UI"/>
          <w:b/>
          <w:i w:val="0"/>
          <w:color w:val="2C3E50"/>
          <w:sz w:val="24"/>
        </w:rPr>
        <w:t>2. Quick-Commerce Health Category Optimization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Finding: </w:t>
      </w:r>
      <w:r>
        <w:rPr>
          <w:rFonts w:ascii="Segoe UI" w:hAnsi="Segoe UI"/>
          <w:b w:val="0"/>
          <w:i w:val="0"/>
          <w:color w:val="1A1A1A"/>
          <w:sz w:val="20"/>
        </w:rPr>
        <w:t>The OTC and supplements market is rapidly expanding on quick-commerce platforms like Talabat and Careem, driven by convenience-seeking consumers needing immediate health solutions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Insight: </w:t>
      </w:r>
      <w:r>
        <w:rPr>
          <w:rFonts w:ascii="Segoe UI" w:hAnsi="Segoe UI"/>
          <w:b w:val="0"/>
          <w:i w:val="0"/>
          <w:color w:val="1A1A1A"/>
          <w:sz w:val="20"/>
        </w:rPr>
        <w:t>Quick-commerce users often purchase health products during acute needs (pain relief, digestive issues) or as part of wellness routines, creating opportunities for both emergency and subscription-based positioning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6B3C"/>
          <w:sz w:val="20"/>
        </w:rPr>
        <w:t xml:space="preserve">Recommendation: </w:t>
      </w:r>
      <w:r>
        <w:rPr>
          <w:rFonts w:ascii="Segoe UI" w:hAnsi="Segoe UI"/>
          <w:b w:val="0"/>
          <w:i w:val="0"/>
          <w:color w:val="1A6B3C"/>
          <w:sz w:val="20"/>
        </w:rPr>
        <w:t>Establish priority product assortment for 30-minute delivery focusing on pain relief, digestive health, and essential vitamins. Partner with pharmacies for verified quick-commerce fulfillment and implement subscription models for regular supplements</w:t>
      </w:r>
    </w:p>
    <w:p>
      <w:pPr>
        <w:spacing w:before="160" w:after="40"/>
        <w:pBdr>
          <w:left w:val="single" w:sz="18" w:color="2c3e50" w:space="8"/>
        </w:pBdr>
      </w:pPr>
      <w:r>
        <w:rPr>
          <w:rFonts w:ascii="Segoe UI" w:hAnsi="Segoe UI"/>
          <w:b/>
          <w:i w:val="0"/>
          <w:color w:val="2C3E50"/>
          <w:sz w:val="24"/>
        </w:rPr>
        <w:t>3. Trust-Building and Review Management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Finding: </w:t>
      </w:r>
      <w:r>
        <w:rPr>
          <w:rFonts w:ascii="Segoe UI" w:hAnsi="Segoe UI"/>
          <w:b w:val="0"/>
          <w:i w:val="0"/>
          <w:color w:val="1A1A1A"/>
          <w:sz w:val="20"/>
        </w:rPr>
        <w:t>Healthcare products require higher trust thresholds than typical FMCG items, making review management and professional endorsements crucial for conversion in the fragmented UAE consumer base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Insight: </w:t>
      </w:r>
      <w:r>
        <w:rPr>
          <w:rFonts w:ascii="Segoe UI" w:hAnsi="Segoe UI"/>
          <w:b w:val="0"/>
          <w:i w:val="0"/>
          <w:color w:val="1A1A1A"/>
          <w:sz w:val="20"/>
        </w:rPr>
        <w:t>Consumers research health products extensively before purchase, and negative reviews can significantly impact sales due to safety concerns, while positive professional recommendations drive premium positioning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6B3C"/>
          <w:sz w:val="20"/>
        </w:rPr>
        <w:t xml:space="preserve">Recommendation: </w:t>
      </w:r>
      <w:r>
        <w:rPr>
          <w:rFonts w:ascii="Segoe UI" w:hAnsi="Segoe UI"/>
          <w:b w:val="0"/>
          <w:i w:val="0"/>
          <w:color w:val="1A6B3C"/>
          <w:sz w:val="20"/>
        </w:rPr>
        <w:t>Implement proactive review management strategy with healthcare professional testimonials, detailed FAQ sections addressing common concerns, and rapid response to customer queries. Partner with verified pharmacists for product education content</w:t>
      </w:r>
    </w:p>
    <w:p>
      <w:pPr>
        <w:spacing w:before="160" w:after="40"/>
        <w:pBdr>
          <w:left w:val="single" w:sz="18" w:color="2c3e50" w:space="8"/>
        </w:pBdr>
      </w:pPr>
      <w:r>
        <w:rPr>
          <w:rFonts w:ascii="Segoe UI" w:hAnsi="Segoe UI"/>
          <w:b/>
          <w:i w:val="0"/>
          <w:color w:val="2C3E50"/>
          <w:sz w:val="24"/>
        </w:rPr>
        <w:t>4. Regulatory-Compliant Digital Marketing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Finding: </w:t>
      </w:r>
      <w:r>
        <w:rPr>
          <w:rFonts w:ascii="Segoe UI" w:hAnsi="Segoe UI"/>
          <w:b w:val="0"/>
          <w:i w:val="0"/>
          <w:color w:val="1A1A1A"/>
          <w:sz w:val="20"/>
        </w:rPr>
        <w:t>UAE health product regulations require careful navigation of claims and advertising restrictions across digital platforms, particularly for OTC medications and supplements with specific therapeutic benefits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Insight: </w:t>
      </w:r>
      <w:r>
        <w:rPr>
          <w:rFonts w:ascii="Segoe UI" w:hAnsi="Segoe UI"/>
          <w:b w:val="0"/>
          <w:i w:val="0"/>
          <w:color w:val="1A1A1A"/>
          <w:sz w:val="20"/>
        </w:rPr>
        <w:t>Non-compliant health claims can result in platform penalties and regulatory issues, while properly positioned products can command premium pricing due to consumer willingness to pay for trusted health solutions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6B3C"/>
          <w:sz w:val="20"/>
        </w:rPr>
        <w:t xml:space="preserve">Recommendation: </w:t>
      </w:r>
      <w:r>
        <w:rPr>
          <w:rFonts w:ascii="Segoe UI" w:hAnsi="Segoe UI"/>
          <w:b w:val="0"/>
          <w:i w:val="0"/>
          <w:color w:val="1A6B3C"/>
          <w:sz w:val="20"/>
        </w:rPr>
        <w:t>Develop approved claim libraries for each product category working with regulatory team. Create educational content focusing on general wellness rather than specific medical claims, and leverage B Corp certification as a trust differentiator</w:t>
      </w:r>
    </w:p>
    <w:p>
      <w:pPr>
        <w:spacing w:before="160" w:after="40"/>
        <w:pBdr>
          <w:left w:val="single" w:sz="18" w:color="2c3e50" w:space="8"/>
        </w:pBdr>
      </w:pPr>
      <w:r>
        <w:rPr>
          <w:rFonts w:ascii="Segoe UI" w:hAnsi="Segoe UI"/>
          <w:b/>
          <w:i w:val="0"/>
          <w:color w:val="2C3E50"/>
          <w:sz w:val="24"/>
        </w:rPr>
        <w:t>5. Cross-Platform Inventory and Pricing Strategy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Finding: </w:t>
      </w:r>
      <w:r>
        <w:rPr>
          <w:rFonts w:ascii="Segoe UI" w:hAnsi="Segoe UI"/>
          <w:b w:val="0"/>
          <w:i w:val="0"/>
          <w:color w:val="1A1A1A"/>
          <w:sz w:val="20"/>
        </w:rPr>
        <w:t>Health products show different price sensitivities across platforms, with pharmacy channels commanding premium pricing while mass retail platforms require competitive positioning against generic alternatives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Insight: </w:t>
      </w:r>
      <w:r>
        <w:rPr>
          <w:rFonts w:ascii="Segoe UI" w:hAnsi="Segoe UI"/>
          <w:b w:val="0"/>
          <w:i w:val="0"/>
          <w:color w:val="1A1A1A"/>
          <w:sz w:val="20"/>
        </w:rPr>
        <w:t>Consumers often compare prices across platforms for health products but prioritize authenticity and fast delivery, creating opportunities for value-based pricing rather than pure cost competition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6B3C"/>
          <w:sz w:val="20"/>
        </w:rPr>
        <w:t xml:space="preserve">Recommendation: </w:t>
      </w:r>
      <w:r>
        <w:rPr>
          <w:rFonts w:ascii="Segoe UI" w:hAnsi="Segoe UI"/>
          <w:b w:val="0"/>
          <w:i w:val="0"/>
          <w:color w:val="1A6B3C"/>
          <w:sz w:val="20"/>
        </w:rPr>
        <w:t>Implement dynamic pricing strategy with premium positioning on specialized health platforms and competitive pricing on mass market channels. Ensure consistent inventory levels across quick-commerce partners to capitalize on urgent health needs</w:t>
      </w:r>
    </w:p>
    <w:p>
      <w:pPr>
        <w:pBdr>
          <w:top w:val="single" w:sz="6" w:color="DDDDDD"/>
        </w:pBdr>
        <w:spacing w:before="280"/>
      </w:pPr>
      <w:r>
        <w:rPr>
          <w:rFonts w:ascii="Segoe UI" w:hAnsi="Segoe UI"/>
          <w:b w:val="0"/>
          <w:i/>
          <w:color w:val="444444"/>
          <w:sz w:val="20"/>
        </w:rPr>
        <w:t>Paula's proven track record with key UAE e-commerce and quick-commerce platforms, combined with FMCG brand management experience, positions her perfectly to navigate Opella's complex digital retail requirements while driving growth across multiple channels.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i w:val="0"/>
        <w:color w:val="888888"/>
        <w:sz w:val="16"/>
      </w:rPr>
      <w:t>Paula De Francisco Pérez  ·  paulich98@hotmail.com  ·  https://linkedin.com/in/paula-de-francisco-perez  ·  +971 50 386 3656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