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6"/>
        <w:gridCol w:w="4986"/>
      </w:tblGrid>
      <w:tr>
        <w:tc>
          <w:tcPr>
            <w:tcW w:type="dxa" w:w="7654"/>
          </w:tcPr>
          <w:p>
            <w:pPr>
              <w:spacing w:before="0" w:after="20" w:line="220" w:lineRule="exact"/>
            </w:pPr>
            <w:r>
              <w:rPr>
                <w:rFonts w:ascii="Calibri" w:hAnsi="Calibri"/>
                <w:b/>
                <w:color w:val="2C3E50"/>
                <w:sz w:val="40"/>
              </w:rPr>
              <w:t>Paula De Francisco Pérez</w:t>
            </w:r>
          </w:p>
          <w:p>
            <w:pPr>
              <w:spacing w:before="0" w:after="20" w:line="220" w:lineRule="exact"/>
            </w:pPr>
            <w:r>
              <w:rPr>
                <w:rFonts w:ascii="Calibri" w:hAnsi="Calibri"/>
                <w:b w:val="0"/>
                <w:color w:val="000000"/>
                <w:sz w:val="19"/>
              </w:rPr>
              <w:t>Brand &amp; Marketing Manager · Integrated Campaigns · UAE &amp; GCC Markets · Quick-Commerce</w:t>
            </w:r>
          </w:p>
          <w:p>
            <w:pPr>
              <w:spacing w:before="0" w:after="20" w:line="220" w:lineRule="exact"/>
            </w:pPr>
            <w:r>
              <w:rPr>
                <w:rFonts w:ascii="Calibri" w:hAnsi="Calibri"/>
                <w:b w:val="0"/>
                <w:color w:val="787878"/>
                <w:sz w:val="17"/>
              </w:rPr>
              <w:t>Dubai, UAE | +971 50 386 3656 | paulich98@hotmail.com</w:t>
            </w:r>
          </w:p>
          <w:p>
            <w:pPr>
              <w:spacing w:before="0" w:after="20" w:line="220" w:lineRule="exact"/>
            </w:pPr>
            <w:r>
              <w:rPr>
                <w:rFonts w:ascii="Calibri" w:hAnsi="Calibri"/>
                <w:b w:val="0"/>
                <w:color w:val="787878"/>
                <w:sz w:val="17"/>
              </w:rPr>
              <w:t>https://www.linkedin.com/in/paula-de-francisco-perez-92a13119a/ | Portfolio: paula-de-francisco.vercel.app | Nationality: Spanish | UAE Residence Visa</w:t>
            </w:r>
          </w:p>
        </w:tc>
        <w:tc>
          <w:tcPr>
            <w:tcW w:type="dxa" w:w="1701"/>
          </w:tcPr>
          <w:p>
            <w:pPr>
              <w:spacing w:before="0" w:after="20" w:line="220" w:lineRule="exact"/>
              <w:jc w:val="right"/>
            </w:pPr>
            <w:r>
              <w:drawing>
                <wp:inline xmlns:a="http://schemas.openxmlformats.org/drawingml/2006/main" xmlns:pic="http://schemas.openxmlformats.org/drawingml/2006/picture">
                  <wp:extent cx="972000" cy="1290109"/>
                  <wp:docPr id="1" name="Picture 1"/>
                  <wp:cNvGraphicFramePr>
                    <a:graphicFrameLocks noChangeAspect="1"/>
                  </wp:cNvGraphicFramePr>
                  <a:graphic>
                    <a:graphicData uri="http://schemas.openxmlformats.org/drawingml/2006/picture">
                      <pic:pic>
                        <pic:nvPicPr>
                          <pic:cNvPr id="0" name="paula_photo.jpg"/>
                          <pic:cNvPicPr/>
                        </pic:nvPicPr>
                        <pic:blipFill>
                          <a:blip r:embed="rId9"/>
                          <a:stretch>
                            <a:fillRect/>
                          </a:stretch>
                        </pic:blipFill>
                        <pic:spPr>
                          <a:xfrm>
                            <a:off x="0" y="0"/>
                            <a:ext cx="972000" cy="1290109"/>
                          </a:xfrm>
                          <a:prstGeom prst="rect"/>
                        </pic:spPr>
                      </pic:pic>
                    </a:graphicData>
                  </a:graphic>
                </wp:inline>
              </w:drawing>
            </w:r>
          </w:p>
        </w:tc>
      </w:tr>
    </w:tbl>
    <w:p>
      <w:pPr>
        <w:spacing w:before="80" w:after="40" w:line="230" w:lineRule="exact"/>
      </w:pPr>
      <w:r>
        <w:rPr>
          <w:rFonts w:ascii="Calibri" w:hAnsi="Calibri"/>
          <w:b/>
          <w:color w:val="2C3E50"/>
          <w:sz w:val="22"/>
        </w:rPr>
        <w:t>PROFESSIONAL SUMMARY</w:t>
      </w:r>
    </w:p>
    <w:p>
      <w:pPr>
        <w:spacing w:before="0" w:after="0" w:line="60" w:lineRule="exact"/>
        <w:pBdr>
          <w:bottom w:val="single" w:sz="4" w:space="1" w:color="CCCCCC"/>
        </w:pBdr>
      </w:pPr>
    </w:p>
    <w:p>
      <w:pPr>
        <w:spacing w:before="80" w:after="40" w:line="230" w:lineRule="exact"/>
      </w:pPr>
      <w:r>
        <w:rPr>
          <w:rFonts w:ascii="Calibri" w:hAnsi="Calibri"/>
          <w:b w:val="0"/>
          <w:color w:val="1E1E1E"/>
          <w:sz w:val="20"/>
        </w:rPr>
        <w:t>Brand and marketing manager in Dubai with 5 years across FMCG, e-commerce and quick-commerce, owning integrated campaigns end-to-end — brief, agencies, budget, delivery and post-campaign reporting — across UAE, GCC and 50+ markets.</w:t>
      </w:r>
    </w:p>
    <w:p>
      <w:pPr>
        <w:spacing w:before="80" w:after="40" w:line="230" w:lineRule="exact"/>
      </w:pPr>
      <w:r>
        <w:rPr>
          <w:rFonts w:ascii="Calibri" w:hAnsi="Calibri"/>
          <w:b/>
          <w:color w:val="2C3E50"/>
          <w:sz w:val="22"/>
        </w:rPr>
        <w:t>WORK EXPERIENCE</w:t>
      </w:r>
    </w:p>
    <w:p>
      <w:pPr>
        <w:spacing w:before="0" w:after="0" w:line="60" w:lineRule="exact"/>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560"/>
        <w:gridCol w:w="2808"/>
      </w:tblGrid>
      <w:tr>
        <w:tc>
          <w:tcPr>
            <w:tcW w:type="dxa" w:w="7560"/>
          </w:tcPr>
          <w:p>
            <w:pPr>
              <w:spacing w:before="0" w:after="20" w:line="220" w:lineRule="exact"/>
            </w:pPr>
            <w:r>
              <w:rPr>
                <w:rFonts w:ascii="Calibri" w:hAnsi="Calibri"/>
                <w:b/>
                <w:color w:val="1E1E1E"/>
                <w:sz w:val="22"/>
              </w:rPr>
              <w:t>Brand &amp; Marketing Manager</w:t>
            </w:r>
          </w:p>
        </w:tc>
        <w:tc>
          <w:tcPr>
            <w:tcW w:type="dxa" w:w="2808"/>
          </w:tcPr>
          <w:p>
            <w:pPr>
              <w:spacing w:before="0" w:after="20" w:line="220" w:lineRule="exact"/>
              <w:jc w:val="right"/>
            </w:pPr>
            <w:r>
              <w:rPr>
                <w:rFonts w:ascii="Calibri" w:hAnsi="Calibri"/>
                <w:b w:val="0"/>
                <w:color w:val="787878"/>
                <w:sz w:val="20"/>
              </w:rPr>
              <w:t>Oct 2025 – Present</w:t>
            </w:r>
          </w:p>
        </w:tc>
      </w:tr>
    </w:tbl>
    <w:p>
      <w:pPr>
        <w:spacing w:before="80" w:after="40" w:line="230" w:lineRule="exact"/>
      </w:pPr>
      <w:r>
        <w:rPr>
          <w:rFonts w:ascii="Calibri" w:hAnsi="Calibri"/>
          <w:b w:val="0"/>
          <w:color w:val="323232"/>
          <w:sz w:val="19"/>
        </w:rPr>
        <w:t>DoFreeze LLC · Homegrown UAE F&amp;B / FMCG group | Brands: Befit, Eurocake, Flair | sold across 50+ countries · Dubai, UAE</w:t>
      </w:r>
    </w:p>
    <w:p>
      <w:pPr>
        <w:spacing w:before="80" w:after="40" w:line="230" w:lineRule="exact"/>
      </w:pPr>
      <w:r>
        <w:rPr>
          <w:rFonts w:ascii="Calibri" w:hAnsi="Calibri"/>
          <w:b w:val="0"/>
          <w:color w:val="1E1E1E"/>
          <w:sz w:val="20"/>
        </w:rPr>
        <w:t>• Own integrated brand campaigns end-to-end for 6 NPD launches — writing creative briefs, setting timelines, aligning contributors and landing activation across social, digital, in-app quick-commerce and in-store across GCC, MENA, Europe, USA and Africa</w:t>
        <w:br/>
        <w:t>• Lead a team of two (graphic designer + social media executive) and external partners, briefing and reviewing all creative output against brand guidelines, plus an influencer programme built from zero to 25–50 creators per campaign around seasonal and cultural moments</w:t>
        <w:br/>
        <w:t>• Own A&amp;P budgets and campaign performance: Meta and Google Ads planning, A/B testing, and KPI/ROI-ROAS reporting turned into recommendations for the next campaign cycle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560"/>
        <w:gridCol w:w="2808"/>
      </w:tblGrid>
      <w:tr>
        <w:tc>
          <w:tcPr>
            <w:tcW w:type="dxa" w:w="7560"/>
          </w:tcPr>
          <w:p>
            <w:pPr>
              <w:spacing w:before="0" w:after="20" w:line="220" w:lineRule="exact"/>
            </w:pPr>
            <w:r>
              <w:rPr>
                <w:rFonts w:ascii="Calibri" w:hAnsi="Calibri"/>
                <w:b/>
                <w:color w:val="1E1E1E"/>
                <w:sz w:val="22"/>
              </w:rPr>
              <w:t>Key Account Manager – Beauty, Fragrances &amp; Fashion</w:t>
            </w:r>
          </w:p>
        </w:tc>
        <w:tc>
          <w:tcPr>
            <w:tcW w:type="dxa" w:w="2808"/>
          </w:tcPr>
          <w:p>
            <w:pPr>
              <w:spacing w:before="0" w:after="20" w:line="220" w:lineRule="exact"/>
              <w:jc w:val="right"/>
            </w:pPr>
            <w:r>
              <w:rPr>
                <w:rFonts w:ascii="Calibri" w:hAnsi="Calibri"/>
                <w:b w:val="0"/>
                <w:color w:val="787878"/>
                <w:sz w:val="20"/>
              </w:rPr>
              <w:t>Nov 2023 – Oct 2025</w:t>
            </w:r>
          </w:p>
        </w:tc>
      </w:tr>
    </w:tbl>
    <w:p>
      <w:pPr>
        <w:spacing w:before="80" w:after="40" w:line="230" w:lineRule="exact"/>
      </w:pPr>
      <w:r>
        <w:rPr>
          <w:rFonts w:ascii="Calibri" w:hAnsi="Calibri"/>
          <w:b w:val="0"/>
          <w:color w:val="323232"/>
          <w:sz w:val="19"/>
        </w:rPr>
        <w:t>Miravia (Alibaba Group) · Top 5 global e-commerce | 100K+ employees · Madrid, Spain</w:t>
      </w:r>
    </w:p>
    <w:p>
      <w:pPr>
        <w:spacing w:before="80" w:after="40" w:line="230" w:lineRule="exact"/>
      </w:pPr>
      <w:r>
        <w:rPr>
          <w:rFonts w:ascii="Calibri" w:hAnsi="Calibri"/>
          <w:b w:val="0"/>
          <w:color w:val="1E1E1E"/>
          <w:sz w:val="20"/>
        </w:rPr>
        <w:t>• Created and led the Beauty Club and Hot on Social campaign projects end-to-end, working across marketing, social and commercial teams to boost visibility and customer loyalty</w:t>
        <w:br/>
        <w:t>• Managed 42 key accounts and the Flash Sales channel (Beauty, Fashion &amp; Home), delivering +30% GMV growth QoQ through promotional planning, pricing and assortment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560"/>
        <w:gridCol w:w="2808"/>
      </w:tblGrid>
      <w:tr>
        <w:tc>
          <w:tcPr>
            <w:tcW w:type="dxa" w:w="7560"/>
          </w:tcPr>
          <w:p>
            <w:pPr>
              <w:spacing w:before="0" w:after="20" w:line="220" w:lineRule="exact"/>
            </w:pPr>
            <w:r>
              <w:rPr>
                <w:rFonts w:ascii="Calibri" w:hAnsi="Calibri"/>
                <w:b/>
                <w:color w:val="1E1E1E"/>
                <w:sz w:val="22"/>
              </w:rPr>
              <w:t>Account Manager – XL Accounts</w:t>
            </w:r>
          </w:p>
        </w:tc>
        <w:tc>
          <w:tcPr>
            <w:tcW w:type="dxa" w:w="2808"/>
          </w:tcPr>
          <w:p>
            <w:pPr>
              <w:spacing w:before="0" w:after="20" w:line="220" w:lineRule="exact"/>
              <w:jc w:val="right"/>
            </w:pPr>
            <w:r>
              <w:rPr>
                <w:rFonts w:ascii="Calibri" w:hAnsi="Calibri"/>
                <w:b w:val="0"/>
                <w:color w:val="787878"/>
                <w:sz w:val="20"/>
              </w:rPr>
              <w:t>Sep 2022 – Nov 2023</w:t>
            </w:r>
          </w:p>
        </w:tc>
      </w:tr>
    </w:tbl>
    <w:p>
      <w:pPr>
        <w:spacing w:before="80" w:after="40" w:line="230" w:lineRule="exact"/>
      </w:pPr>
      <w:r>
        <w:rPr>
          <w:rFonts w:ascii="Calibri" w:hAnsi="Calibri"/>
          <w:b w:val="0"/>
          <w:color w:val="323232"/>
          <w:sz w:val="19"/>
        </w:rPr>
        <w:t>Glovo · Quick-commerce leader | €500M+ revenue | 10K+ employees · Madrid, Spain</w:t>
      </w:r>
    </w:p>
    <w:p>
      <w:pPr>
        <w:spacing w:before="80" w:after="40" w:line="230" w:lineRule="exact"/>
      </w:pPr>
      <w:r>
        <w:rPr>
          <w:rFonts w:ascii="Calibri" w:hAnsi="Calibri"/>
          <w:b w:val="0"/>
          <w:color w:val="1E1E1E"/>
          <w:sz w:val="20"/>
        </w:rPr>
        <w:t>• Built bespoke marketing activations with strategic partners (KFC, Taco Bell, La Tagliatella, Sushi Shop), coordinating marketing, logistics and customer support to deliver campaigns and grow order volume</w:t>
        <w:br/>
        <w:t>• Part of the team that launched Glovo's Retail vertical, onboarding fashion and lifestyle brands beyond food delivery</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560"/>
        <w:gridCol w:w="2808"/>
      </w:tblGrid>
      <w:tr>
        <w:tc>
          <w:tcPr>
            <w:tcW w:type="dxa" w:w="7560"/>
          </w:tcPr>
          <w:p>
            <w:pPr>
              <w:spacing w:before="0" w:after="20" w:line="220" w:lineRule="exact"/>
            </w:pPr>
            <w:r>
              <w:rPr>
                <w:rFonts w:ascii="Calibri" w:hAnsi="Calibri"/>
                <w:b/>
                <w:color w:val="1E1E1E"/>
                <w:sz w:val="22"/>
              </w:rPr>
              <w:t>Trainee – Category Planning</w:t>
            </w:r>
          </w:p>
        </w:tc>
        <w:tc>
          <w:tcPr>
            <w:tcW w:type="dxa" w:w="2808"/>
          </w:tcPr>
          <w:p>
            <w:pPr>
              <w:spacing w:before="0" w:after="20" w:line="220" w:lineRule="exact"/>
              <w:jc w:val="right"/>
            </w:pPr>
            <w:r>
              <w:rPr>
                <w:rFonts w:ascii="Calibri" w:hAnsi="Calibri"/>
                <w:b w:val="0"/>
                <w:color w:val="787878"/>
                <w:sz w:val="20"/>
              </w:rPr>
              <w:t>Aug 2021 – Aug 2022</w:t>
            </w:r>
          </w:p>
        </w:tc>
      </w:tr>
    </w:tbl>
    <w:p>
      <w:pPr>
        <w:spacing w:before="80" w:after="40" w:line="230" w:lineRule="exact"/>
      </w:pPr>
      <w:r>
        <w:rPr>
          <w:rFonts w:ascii="Calibri" w:hAnsi="Calibri"/>
          <w:b w:val="0"/>
          <w:color w:val="323232"/>
          <w:sz w:val="19"/>
        </w:rPr>
        <w:t>Mondelez International · Global FMCG | €36B annual revenue | 90K+ employees · Madrid, Spain</w:t>
      </w:r>
    </w:p>
    <w:p>
      <w:pPr>
        <w:spacing w:before="80" w:after="40" w:line="230" w:lineRule="exact"/>
      </w:pPr>
      <w:r>
        <w:rPr>
          <w:rFonts w:ascii="Calibri" w:hAnsi="Calibri"/>
          <w:b w:val="0"/>
          <w:color w:val="1E1E1E"/>
          <w:sz w:val="20"/>
        </w:rPr>
        <w:t>• Evaluated promotional effectiveness and built sell-in/sell-out performance reports for the chocolate category, supporting NPD launches (Milka Spread, Mini Suchard)</w:t>
      </w:r>
    </w:p>
    <w:p>
      <w:pPr>
        <w:spacing w:before="80" w:after="40" w:line="230" w:lineRule="exact"/>
      </w:pPr>
      <w:r>
        <w:rPr>
          <w:rFonts w:ascii="Calibri" w:hAnsi="Calibri"/>
          <w:b/>
          <w:color w:val="2C3E50"/>
          <w:sz w:val="22"/>
        </w:rPr>
        <w:t>CORE SKILLS &amp; TOOLS</w:t>
      </w:r>
    </w:p>
    <w:p>
      <w:pPr>
        <w:spacing w:before="0" w:after="0" w:line="60" w:lineRule="exact"/>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232"/>
        <w:gridCol w:w="8136"/>
      </w:tblGrid>
      <w:tr>
        <w:tc>
          <w:tcPr>
            <w:tcW w:type="dxa" w:w="2232"/>
            <w:tcW w:w="1700" w:type="dxa"/>
          </w:tcPr>
          <w:p>
            <w:pPr>
              <w:spacing w:before="0" w:after="20" w:line="220" w:lineRule="exact"/>
            </w:pPr>
            <w:r>
              <w:rPr>
                <w:rFonts w:ascii="Calibri" w:hAnsi="Calibri"/>
                <w:b/>
                <w:color w:val="1E1E1E"/>
                <w:sz w:val="19"/>
              </w:rPr>
              <w:t>Brand &amp; Marketing</w:t>
            </w:r>
          </w:p>
        </w:tc>
        <w:tc>
          <w:tcPr>
            <w:tcW w:type="dxa" w:w="8136"/>
            <w:tcW w:w="7937" w:type="dxa"/>
          </w:tcPr>
          <w:p>
            <w:pPr>
              <w:spacing w:before="0" w:after="20" w:line="220" w:lineRule="exact"/>
            </w:pPr>
            <w:r>
              <w:rPr>
                <w:rFonts w:ascii="Calibri" w:hAnsi="Calibri"/>
                <w:b w:val="0"/>
                <w:color w:val="1E1E1E"/>
                <w:sz w:val="19"/>
              </w:rPr>
              <w:t>Integrated campaign management, creative briefing &amp; agency management, brand strategy, project &amp; timeline management, A&amp;P budget ownership, go-to-market, influencer marketing, team leadership</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232"/>
        <w:gridCol w:w="8136"/>
      </w:tblGrid>
      <w:tr>
        <w:tc>
          <w:tcPr>
            <w:tcW w:type="dxa" w:w="2232"/>
            <w:tcW w:w="1700" w:type="dxa"/>
          </w:tcPr>
          <w:p>
            <w:pPr>
              <w:spacing w:before="0" w:after="20" w:line="220" w:lineRule="exact"/>
            </w:pPr>
            <w:r>
              <w:rPr>
                <w:rFonts w:ascii="Calibri" w:hAnsi="Calibri"/>
                <w:b/>
                <w:color w:val="1E1E1E"/>
                <w:sz w:val="19"/>
              </w:rPr>
              <w:t>E-Commerce &amp; Digital</w:t>
            </w:r>
          </w:p>
        </w:tc>
        <w:tc>
          <w:tcPr>
            <w:tcW w:type="dxa" w:w="8136"/>
            <w:tcW w:w="7937" w:type="dxa"/>
          </w:tcPr>
          <w:p>
            <w:pPr>
              <w:spacing w:before="0" w:after="20" w:line="220" w:lineRule="exact"/>
            </w:pPr>
            <w:r>
              <w:rPr>
                <w:rFonts w:ascii="Calibri" w:hAnsi="Calibri"/>
                <w:b w:val="0"/>
                <w:color w:val="1E1E1E"/>
                <w:sz w:val="19"/>
              </w:rPr>
              <w:t>Quick-commerce (Deliveroo, Talabat, Noon, Careem), social &amp; in-app activation, Meta Ads, Google Ads, CRM &amp; EDM, Shopify, Instagram, TikTok</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232"/>
        <w:gridCol w:w="8136"/>
      </w:tblGrid>
      <w:tr>
        <w:tc>
          <w:tcPr>
            <w:tcW w:type="dxa" w:w="2232"/>
            <w:tcW w:w="1700" w:type="dxa"/>
          </w:tcPr>
          <w:p>
            <w:pPr>
              <w:spacing w:before="0" w:after="20" w:line="220" w:lineRule="exact"/>
            </w:pPr>
            <w:r>
              <w:rPr>
                <w:rFonts w:ascii="Calibri" w:hAnsi="Calibri"/>
                <w:b/>
                <w:color w:val="1E1E1E"/>
                <w:sz w:val="19"/>
              </w:rPr>
              <w:t>Commercial</w:t>
            </w:r>
          </w:p>
        </w:tc>
        <w:tc>
          <w:tcPr>
            <w:tcW w:type="dxa" w:w="8136"/>
            <w:tcW w:w="7937" w:type="dxa"/>
          </w:tcPr>
          <w:p>
            <w:pPr>
              <w:spacing w:before="0" w:after="20" w:line="220" w:lineRule="exact"/>
            </w:pPr>
            <w:r>
              <w:rPr>
                <w:rFonts w:ascii="Calibri" w:hAnsi="Calibri"/>
                <w:b w:val="0"/>
                <w:color w:val="1E1E1E"/>
                <w:sz w:val="19"/>
              </w:rPr>
              <w:t>Cross-functional stakeholder management, partner &amp; vendor negotiation, promotional mechanics, key account management, modern trade, pricing strategy</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232"/>
        <w:gridCol w:w="8136"/>
      </w:tblGrid>
      <w:tr>
        <w:tc>
          <w:tcPr>
            <w:tcW w:type="dxa" w:w="2232"/>
            <w:tcW w:w="1700" w:type="dxa"/>
          </w:tcPr>
          <w:p>
            <w:pPr>
              <w:spacing w:before="0" w:after="20" w:line="220" w:lineRule="exact"/>
            </w:pPr>
            <w:r>
              <w:rPr>
                <w:rFonts w:ascii="Calibri" w:hAnsi="Calibri"/>
                <w:b/>
                <w:color w:val="1E1E1E"/>
                <w:sz w:val="19"/>
              </w:rPr>
              <w:t>Data &amp; Analytics</w:t>
            </w:r>
          </w:p>
        </w:tc>
        <w:tc>
          <w:tcPr>
            <w:tcW w:type="dxa" w:w="8136"/>
            <w:tcW w:w="7937" w:type="dxa"/>
          </w:tcPr>
          <w:p>
            <w:pPr>
              <w:spacing w:before="0" w:after="20" w:line="220" w:lineRule="exact"/>
            </w:pPr>
            <w:r>
              <w:rPr>
                <w:rFonts w:ascii="Calibri" w:hAnsi="Calibri"/>
                <w:b w:val="0"/>
                <w:color w:val="1E1E1E"/>
                <w:sz w:val="19"/>
              </w:rPr>
              <w:t>Campaign KPI tracking, post-campaign reporting, ROI &amp; ROAS analysis, sell-in/sell-out, A/B testing, Power BI, Tableau, Nielsen</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2232"/>
        <w:gridCol w:w="8136"/>
      </w:tblGrid>
      <w:tr>
        <w:tc>
          <w:tcPr>
            <w:tcW w:type="dxa" w:w="2232"/>
            <w:tcW w:w="1700" w:type="dxa"/>
          </w:tcPr>
          <w:p>
            <w:pPr>
              <w:spacing w:before="0" w:after="20" w:line="220" w:lineRule="exact"/>
            </w:pPr>
            <w:r>
              <w:rPr>
                <w:rFonts w:ascii="Calibri" w:hAnsi="Calibri"/>
                <w:b/>
                <w:color w:val="1E1E1E"/>
                <w:sz w:val="19"/>
              </w:rPr>
              <w:t>Tools</w:t>
            </w:r>
          </w:p>
        </w:tc>
        <w:tc>
          <w:tcPr>
            <w:tcW w:type="dxa" w:w="8136"/>
            <w:tcW w:w="7937" w:type="dxa"/>
          </w:tcPr>
          <w:p>
            <w:pPr>
              <w:spacing w:before="0" w:after="20" w:line="220" w:lineRule="exact"/>
            </w:pPr>
            <w:r>
              <w:rPr>
                <w:rFonts w:ascii="Calibri" w:hAnsi="Calibri"/>
                <w:b w:val="0"/>
                <w:color w:val="1E1E1E"/>
                <w:sz w:val="19"/>
              </w:rPr>
              <w:t>Meta Business Suite, Google Ads, Shopify, Power BI, Adobe Creative Suite, Canva, Salesforce, SAP, Generative AI (Claude, ChatGPT), Microsoft Office (Expert)</w:t>
            </w:r>
          </w:p>
        </w:tc>
      </w:tr>
    </w:tbl>
    <w:p>
      <w:pPr>
        <w:spacing w:before="80" w:after="40" w:line="230" w:lineRule="exact"/>
      </w:pPr>
      <w:r>
        <w:rPr>
          <w:rFonts w:ascii="Calibri" w:hAnsi="Calibri"/>
          <w:b/>
          <w:color w:val="2C3E50"/>
          <w:sz w:val="22"/>
        </w:rPr>
        <w:t>EDUCATION</w:t>
      </w:r>
    </w:p>
    <w:p>
      <w:pPr>
        <w:spacing w:before="0" w:after="0" w:line="60" w:lineRule="exact"/>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7776"/>
        <w:gridCol w:w="2592"/>
      </w:tblGrid>
      <w:tr>
        <w:tc>
          <w:tcPr>
            <w:tcW w:type="dxa" w:w="7776"/>
          </w:tcPr>
          <w:p>
            <w:pPr>
              <w:spacing w:before="0" w:after="20" w:line="220" w:lineRule="exact"/>
            </w:pPr>
            <w:r>
              <w:rPr>
                <w:rFonts w:ascii="Calibri" w:hAnsi="Calibri"/>
                <w:b/>
                <w:color w:val="1E1E1E"/>
                <w:sz w:val="22"/>
              </w:rPr>
              <w:t>Bachelor's in Business Administration — CUNEF Universidad, Madrid</w:t>
            </w:r>
          </w:p>
        </w:tc>
        <w:tc>
          <w:tcPr>
            <w:tcW w:type="dxa" w:w="2592"/>
          </w:tcPr>
          <w:p>
            <w:pPr>
              <w:spacing w:before="0" w:after="20" w:line="220" w:lineRule="exact"/>
              <w:jc w:val="right"/>
            </w:pPr>
            <w:r>
              <w:rPr>
                <w:rFonts w:ascii="Calibri" w:hAnsi="Calibri"/>
                <w:b w:val="0"/>
                <w:color w:val="787878"/>
                <w:sz w:val="20"/>
              </w:rPr>
              <w:t>2016 – 2020</w:t>
            </w:r>
          </w:p>
        </w:tc>
      </w:tr>
    </w:tbl>
    <w:p>
      <w:pPr>
        <w:spacing w:before="80" w:after="40" w:line="230" w:lineRule="exact"/>
      </w:pPr>
      <w:r>
        <w:rPr>
          <w:rFonts w:ascii="Calibri" w:hAnsi="Calibri"/>
          <w:b w:val="0"/>
          <w:color w:val="787878"/>
          <w:sz w:val="18"/>
        </w:rPr>
        <w:t>Specialisation: E-Commerce · Fashion Industry · Thesis grade: 9.5/10</w:t>
      </w:r>
    </w:p>
    <w:p>
      <w:pPr>
        <w:spacing w:before="80" w:after="40" w:line="230" w:lineRule="exact"/>
      </w:pPr>
      <w:r>
        <w:rPr>
          <w:rFonts w:ascii="Calibri" w:hAnsi="Calibri"/>
          <w:b w:val="0"/>
          <w:color w:val="787878"/>
          <w:sz w:val="18"/>
        </w:rPr>
        <w:t>Google E-Commerce Certificate · Google Digital Marketing Certificate</w:t>
      </w:r>
    </w:p>
    <w:p>
      <w:pPr>
        <w:spacing w:before="80" w:after="40" w:line="230" w:lineRule="exact"/>
      </w:pPr>
      <w:r>
        <w:rPr>
          <w:rFonts w:ascii="Calibri" w:hAnsi="Calibri"/>
          <w:b/>
          <w:color w:val="2C3E50"/>
          <w:sz w:val="22"/>
        </w:rPr>
        <w:t>LANGUAGES</w:t>
      </w:r>
    </w:p>
    <w:p>
      <w:pPr>
        <w:spacing w:before="0" w:after="0" w:line="60" w:lineRule="exact"/>
        <w:pBdr>
          <w:bottom w:val="single" w:sz="4" w:space="1" w:color="CCCCCC"/>
        </w:pBd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493"/>
        <w:gridCol w:w="2493"/>
        <w:gridCol w:w="2493"/>
        <w:gridCol w:w="2493"/>
      </w:tblGrid>
      <w:tr>
        <w:tc>
          <w:tcPr>
            <w:tcW w:type="dxa" w:w="2493"/>
          </w:tcPr>
          <w:p>
            <w:pPr>
              <w:spacing w:before="0" w:after="20" w:line="220" w:lineRule="exact"/>
            </w:pPr>
            <w:r>
              <w:rPr>
                <w:rFonts w:ascii="Calibri" w:hAnsi="Calibri"/>
                <w:b/>
                <w:color w:val="1E1E1E"/>
                <w:sz w:val="20"/>
              </w:rPr>
              <w:t>Spanish</w:t>
            </w:r>
          </w:p>
        </w:tc>
        <w:tc>
          <w:tcPr>
            <w:tcW w:type="dxa" w:w="2493"/>
          </w:tcPr>
          <w:p>
            <w:pPr>
              <w:spacing w:before="0" w:after="20" w:line="220" w:lineRule="exact"/>
            </w:pPr>
            <w:r>
              <w:rPr>
                <w:rFonts w:ascii="Calibri" w:hAnsi="Calibri"/>
                <w:b w:val="0"/>
                <w:color w:val="1E1E1E"/>
                <w:sz w:val="20"/>
              </w:rPr>
              <w:t>Native</w:t>
            </w:r>
          </w:p>
        </w:tc>
        <w:tc>
          <w:tcPr>
            <w:tcW w:type="dxa" w:w="2493"/>
          </w:tcPr>
          <w:p>
            <w:pPr>
              <w:spacing w:before="0" w:after="20" w:line="220" w:lineRule="exact"/>
            </w:pPr>
            <w:r>
              <w:rPr>
                <w:rFonts w:ascii="Calibri" w:hAnsi="Calibri"/>
                <w:b/>
                <w:color w:val="1E1E1E"/>
                <w:sz w:val="20"/>
              </w:rPr>
              <w:t>English</w:t>
            </w:r>
          </w:p>
        </w:tc>
        <w:tc>
          <w:tcPr>
            <w:tcW w:type="dxa" w:w="2493"/>
          </w:tcPr>
          <w:p>
            <w:pPr>
              <w:spacing w:before="0" w:after="20" w:line="220" w:lineRule="exact"/>
            </w:pPr>
            <w:r>
              <w:rPr>
                <w:rFonts w:ascii="Calibri" w:hAnsi="Calibri"/>
                <w:b w:val="0"/>
                <w:color w:val="1E1E1E"/>
                <w:sz w:val="20"/>
              </w:rPr>
              <w:t>Professional C1</w:t>
            </w:r>
          </w:p>
        </w:tc>
      </w:tr>
    </w:tbl>
    <w:sectPr w:rsidR="00FC693F" w:rsidRPr="0006063C" w:rsidSect="00034616">
      <w:pgSz w:w="12240" w:h="15840"/>
      <w:pgMar w:top="648" w:right="792" w:bottom="547"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