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PRODUCT (Producto):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PRODUCT_ID: Identificador único del producto (clave primaria).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PRODUCT_NAME: Nombre del producto.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PRODUCT_TYPE: Tipo de producto a traves de enumeracion.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PRODUCT_PRICE: Precio del producto.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PRODUCT_TITLE: Título del producto.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PRODUCT_DESC: Descripción del producto.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PRODUCT_IMG: Ruta o nombre de archivo de la imagen del producto.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COFFEEUSER (Usuario de café):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COFFEEUSER_ID: Identificador único del usuario de café (clave primaria).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COFFEEUSER_NAME: Nombre del usuario de café.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COFFEEUSER_PASS: Contraseña del usuario de café.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COFFEEUSER_EMAIL: Correo electrónico del usuario de café.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SHOPPINGCART (Carrito de compras):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SHOPPINGCART_ID: Identificador único del carrito de compras (clave primaria).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COFFEEUSER_ID: Identificador del usuario de café al que pertenece el carrito (clave foránea referenciando COFFEEUSER).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PRODUCT_ID: Identificador del producto agregado al carrito (clave foránea referenciando PRODUCT).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QUANTITY: Cantidad del producto agregado al carrito.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Además, se establecen las siguientes relaciones y restricciones: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 tabla SHOPPINGCART tiene una relación uno a muchos con las tablas COFFEEUSER y PRODUCT, representadas por las claves foráneas COFFEEUSER_ID y PRODUCT_ID, respectivamente.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 tabla SHOPPINGCART tiene una restricción UNIQUE (UQ_SHOPPINGCART) en las columnas COFFEEUSER_ID y PRODUCT_ID para garantizar que un usuario no pueda agregar el mismo producto al carrito múltiples veces.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tabla COFFEEUSER tiene una restricción PRIMARY KEY (PK_COFFEEUSER) en la columna COFFEEUSER_ID, lo que asegura la unicidad del identificador del usuario de café.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tabla PRODUCT tiene una restricción PRIMARY KEY (PK_PRODUCT) en la columna PRODUCT_ID, lo que asegura la unicidad del identificador del producto.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La tabla SHOPPINGCART tiene una restricción PRIMARY KEY (PK_SHOPPINGCART) en la columna SHOPPINGCART_ID, lo que asegura la unicidad del identificador del carrito de compras.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tabla SHOPPINGCART tiene una restricción FOREIGN KEY (FK_COFFEEUSER) que referencia la columna COFFEEUSER_ID en la tabla COFFEEUSER, estableciendo una relación padre-hijo entre COFFEEUSER y SHOPPINGCART.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tabla SHOPPINGCART tiene una restricción FOREIGN KEY (FK_PRODUCT) que referencia la columna PRODUCT_ID en la tabla PRODUCT, estableciendo una relación padre-hijo entre PRODUCT y SHOPPINGCART.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