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02"/>
        <w:gridCol w:w="2367"/>
        <w:gridCol w:w="1878"/>
      </w:tblGrid>
      <w:tr>
        <w:trPr>
          <w:trHeight w:val="638" w:hRule="auto"/>
          <w:tblHeader/>
        </w:trPr>
        <w:tc>
          <w:tcPr>
            <w:gridSpan w:val="3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Tabla 1. Perú: Población ocupada según condición de formalidad, 2025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Condición de Empleo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Expandido (N)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Proporción (%)</w:t>
            </w:r>
          </w:p>
        </w:tc>
      </w:tr>
      <w:tr>
        <w:trPr>
          <w:trHeight w:val="60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Formal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5,241,215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32.8%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Informal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10,728,301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67.2%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Fuente: ENAHO 2025. Cálculos usando el factor de expansión anual.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2026-06-19T19:02:45Z</dcterms:modified>
  <cp:category/>
</cp:coreProperties>
</file>