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3"/>
        <w:gridCol w:w="2709"/>
      </w:tblGrid>
      <w:tr>
        <w:trPr>
          <w:trHeight w:val="638" w:hRule="auto"/>
          <w:tblHeader/>
        </w:trPr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2. Estadísticos de resumen del ingreso mensual proveniente de la ocupación principal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Estadístico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Valor (Soles corrientes)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Mínimo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Percetil 25 (Q1)_q25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420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 (Q2)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1,150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 (Promedio)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15,017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Percentil 75 (Q3)_q75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Máximo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999,999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| Cálculos ponderados usando el factor de expansión anual.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2026-06-19T19:02:48Z</dcterms:modified>
  <cp:category/>
</cp:coreProperties>
</file>