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96"/>
        <w:gridCol w:w="2221"/>
        <w:gridCol w:w="2221"/>
      </w:tblGrid>
      <w:tr>
        <w:trPr>
          <w:trHeight w:val="638" w:hRule="auto"/>
          <w:tblHeader/>
        </w:trPr>
        <w:tc>
          <w:tcPr>
            <w:gridSpan w:val="3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Tabla 3. Perú: Condición de formalidad del empleo según formalidad del sector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Sector Económico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Empleo Formal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Empleo Informal</w:t>
            </w:r>
          </w:p>
        </w:tc>
      </w:tr>
      <w:tr>
        <w:trPr>
          <w:trHeight w:val="608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Sector Formal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3,779,740 (71.8%)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1,487,291 (28.2%)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Sector Informal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111,688 (1.2%)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8,903,808 (98.8%)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Fuente: ENAHO 2025. Cálculos usando el factor de expansión anual.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2026-06-19T19:02:49Z</dcterms:modified>
  <cp:category/>
</cp:coreProperties>
</file>