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502"/>
        <w:gridCol w:w="2367"/>
        <w:gridCol w:w="1878"/>
      </w:tblGrid>
      <w:tr>
        <w:trPr>
          <w:trHeight w:val="638" w:hRule="auto"/>
          <w:tblHeader/>
        </w:trPr>
        <w:tc>
          <w:tcPr>
            <w:gridSpan w:val="3"/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Tabla 1. Perú: Población ocupada según condición de formalidad, 2025</w:t>
            </w:r>
          </w:p>
        </w:tc>
      </w:tr>
      <w:tr>
        <w:trPr>
          <w:trHeight w:val="638" w:hRule="auto"/>
          <w:tblHeader/>
        </w:trPr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Condición de Empleo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Total Expandido (N)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Proporción (%)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Formal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5,241,215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32.8%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Informal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10,728,301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67.2%</w:t>
            </w:r>
          </w:p>
        </w:tc>
      </w:tr>
      <w:tr>
        <w:trPr>
          <w:trHeight w:val="360" w:hRule="auto"/>
        </w:trPr>
        <w:tc>
          <w:tcPr>
            <w:gridSpan w:val="3"/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Fuente: ENAHO 2025. Cálculos usando el factor de expansión anual.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2026-06-24T21:41:07Z</dcterms:modified>
  <cp:category/>
</cp:coreProperties>
</file>