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59"/>
        <w:gridCol w:w="2709"/>
      </w:tblGrid>
      <w:tr>
        <w:trPr>
          <w:trHeight w:val="63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2. Estadísticos de resumen del ingreso mensual proveniente de la ocupación principal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Estadístico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Valor (Soles corrientes)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Mínimo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Percentil 25 (Q1)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 (Q2)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 (Promedio)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Percentil 75 (Q3)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Máximo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24,155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| Cálculos ponderados usando el factor de expansión anual.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2026-06-24T21:41:24Z</dcterms:modified>
  <cp:category/>
</cp:coreProperties>
</file>