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6"/>
        <w:gridCol w:w="2221"/>
        <w:gridCol w:w="2221"/>
      </w:tblGrid>
      <w:tr>
        <w:trPr>
          <w:trHeight w:val="638" w:hRule="auto"/>
          <w:tblHeader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3. Perú: Condición de formalidad del empleo según formalidad del sector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Sector Económico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Formal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Empleo Informal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Formal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3,779,740 (71.8%)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1,487,291 (28.2%)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 Informal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111,688 (1.2%)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8,903,808 (98.8%)</w:t>
            </w:r>
          </w:p>
        </w:tc>
      </w:tr>
      <w:tr>
        <w:trPr>
          <w:trHeight w:val="360" w:hRule="auto"/>
        </w:trPr>
        <w:tc>
          <w:tcPr>
            <w:gridSpan w:val="3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usando el factor de expansión anual.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2026-06-24T21:41:26Z</dcterms:modified>
  <cp:category/>
</cp:coreProperties>
</file>