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7"/>
        <w:gridCol w:w="2698"/>
        <w:gridCol w:w="2343"/>
        <w:gridCol w:w="2221"/>
        <w:gridCol w:w="2343"/>
      </w:tblGrid>
      <w:tr>
        <w:trPr>
          <w:trHeight w:val="638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4. Perú: Perfil sociodemográfico y de protección social según condición de formalidad en el empleo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Caracteristica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Categoria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Formal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Informal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Afiliación a Salud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Afiliado a salud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14,615,629 (91.5%)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4,982,948 (95.1%)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9,632,681 (89.8%)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afiliado a salud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1,353,888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258,267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1,095,620 (10.2%)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Condición de Discapacidad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 discapacidad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511,406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92,863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418,543 (3.9%)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discapacidad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15,458,111 (96.8%)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5,148,352 (98.2%)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10,309,759 (96.1%)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Hombre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8,803,371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3,021,791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5,781,580 (53.9%)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Mujer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7,166,146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2,219,425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4,946,721 (46.1%)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Sistema de Pensiones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AFP (Privado)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4,170,929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3,031,540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1,139,389 (10.6%)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afiliado a pensiones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10,131,637 (63.4%)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1,181,669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8,949,968 (83.4%)</w:t>
            </w:r>
          </w:p>
        </w:tc>
      </w:tr>
      <w:tr>
        <w:trPr>
          <w:trHeight w:val="623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ONP/Otros (Público)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1,666,951 (10.4%)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1,028,007 (19.6%)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638,944 (6%)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usando el factor de expansión anual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2026-06-24T21:41:28Z</dcterms:modified>
  <cp:category/>
</cp:coreProperties>
</file>