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32"/>
        <w:gridCol w:w="1743"/>
        <w:gridCol w:w="2269"/>
        <w:gridCol w:w="4055"/>
      </w:tblGrid>
      <w:tr>
        <w:trPr>
          <w:trHeight w:val="638" w:hRule="auto"/>
          <w:tblHeader/>
        </w:trPr>
        <w:tc>
          <w:tcPr>
            <w:gridSpan w:val="4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5. Perú: Perfil de edad y confianza institucional según tipología laboral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Tipología Laboral (Sector x Empleo)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Población (N)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Edad Promedio (Z)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Índice Confianza (Media Geométrica)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Formal Absoluto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3,779,740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Informal en Sector 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1,487,291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Formal en Sector Informal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111,688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Informal Absoluto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8,903,808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ponderados con factor de expansión anual.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2026-06-24T21:41:30Z</dcterms:modified>
  <cp:category/>
</cp:coreProperties>
</file>