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40"/>
        <w:jc w:val="center"/>
      </w:pPr>
      <w:r>
        <w:rPr>
          <w:rFonts w:ascii="Arial" w:cs="Arial" w:eastAsia="Arial" w:hAnsi="Arial"/>
          <w:b/>
          <w:bCs/>
          <w:i w:val="false"/>
          <w:iCs w:val="false"/>
          <w:caps/>
          <w:color w:val="1C1C1C"/>
          <w:spacing w:val="60"/>
          <w:sz w:val="66"/>
          <w:szCs w:val="66"/>
        </w:rPr>
        <w:t xml:space="preserve">APUCMX</w:t>
      </w:r>
    </w:p>
    <w:p>
      <w:pPr>
        <w:pBdr>
          <w:bottom w:val="single" w:color="F05A28" w:sz="8" w:space="10"/>
        </w:pBdr>
        <w:spacing w:before="20" w:after="20"/>
        <w:jc w:val="center"/>
      </w:pPr>
      <w:r>
        <w:rPr>
          <w:rFonts w:ascii="Arial" w:cs="Arial" w:eastAsia="Arial" w:hAnsi="Arial"/>
          <w:b w:val="false"/>
          <w:bCs w:val="false"/>
          <w:i/>
          <w:iCs/>
          <w:caps w:val="false"/>
          <w:color w:val="F05A28"/>
          <w:sz w:val="27"/>
          <w:szCs w:val="27"/>
        </w:rPr>
        <w:t xml:space="preserve">La Infraestructura de Confianza para la Industria AEC en la Era de la Volatilidad</w:t>
      </w:r>
    </w:p>
    <w:p>
      <w:pPr>
        <w:spacing w:before="0" w:after="0"/>
      </w:pPr>
      <w:r>
        <w:rPr>
          <w:rFonts w:ascii="Arial" w:cs="Arial" w:eastAsia="Arial" w:hAnsi="Arial"/>
          <w:b w:val="false"/>
          <w:bCs w:val="false"/>
          <w:i w:val="false"/>
          <w:iCs w:val="false"/>
          <w:caps w:val="false"/>
          <w:color w:val="2E2E2E"/>
          <w:sz w:val="10"/>
          <w:szCs w:val="10"/>
        </w:rPr>
        <w:t xml:space="preserve"/>
      </w:r>
    </w:p>
    <w:p>
      <w:pPr>
        <w:spacing w:before="120" w:after="40"/>
        <w:jc w:val="center"/>
      </w:pPr>
      <w:r>
        <w:rPr>
          <w:rFonts w:ascii="Arial" w:cs="Arial" w:eastAsia="Arial" w:hAnsi="Arial"/>
          <w:b w:val="false"/>
          <w:bCs w:val="false"/>
          <w:i w:val="false"/>
          <w:iCs w:val="false"/>
          <w:caps w:val="false"/>
          <w:color w:val="555555"/>
          <w:sz w:val="21"/>
          <w:szCs w:val="21"/>
        </w:rPr>
        <w:t xml:space="preserve">Artículo de Liderazgo de Pensamiento · Transformación Digital AEC</w:t>
      </w:r>
    </w:p>
    <w:p>
      <w:pPr>
        <w:spacing w:before="120" w:after="40"/>
        <w:jc w:val="center"/>
      </w:pPr>
      <w:r>
        <w:rPr>
          <w:rFonts w:ascii="Arial" w:cs="Arial" w:eastAsia="Arial" w:hAnsi="Arial"/>
          <w:b/>
          <w:bCs/>
          <w:i w:val="false"/>
          <w:iCs w:val="false"/>
          <w:caps w:val="false"/>
          <w:color w:val="555555"/>
          <w:sz w:val="21"/>
          <w:szCs w:val="21"/>
        </w:rPr>
        <w:t xml:space="preserve">por Guillermo Jhoel Hernández Gómez</w:t>
      </w:r>
    </w:p>
    <w:p>
      <w:pPr>
        <w:spacing w:before="60" w:after="1400"/>
        <w:jc w:val="center"/>
      </w:pPr>
      <w:r>
        <w:rPr>
          <w:rFonts w:ascii="Arial" w:cs="Arial" w:eastAsia="Arial" w:hAnsi="Arial"/>
          <w:b w:val="false"/>
          <w:bCs w:val="false"/>
          <w:i w:val="false"/>
          <w:iCs w:val="false"/>
          <w:caps w:val="false"/>
          <w:color w:val="F05A28"/>
          <w:sz w:val="20"/>
          <w:szCs w:val="20"/>
        </w:rPr>
        <w:t xml:space="preserve">Enero 2025  ·  Ciudad de México  ·  apucmx.mx</w:t>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Resumen Ejecutivo</w:t>
      </w:r>
    </w:p>
    <w:p>
      <w:pPr>
        <w:spacing w:before="90" w:after="90" w:line="364"/>
        <w:jc w:val="both"/>
      </w:pPr>
      <w:r>
        <w:rPr>
          <w:rFonts w:ascii="Arial" w:cs="Arial" w:eastAsia="Arial" w:hAnsi="Arial"/>
          <w:b w:val="false"/>
          <w:bCs w:val="false"/>
          <w:i w:val="false"/>
          <w:iCs w:val="false"/>
          <w:caps w:val="false"/>
          <w:color w:val="2E2E2E"/>
          <w:sz w:val="22"/>
          <w:szCs w:val="22"/>
        </w:rPr>
        <w:t xml:space="preserve">La industria de la Arquitectura, Ingeniería y Construcción (AEC) en México opera sobre una arquitectura invisible de ineficiencias: precios no regionalizados, datos no verificables y un talento técnico de primer nivel atrapado en tareas manuales y repetitivas. El resultado es predecible: proyectos con sobrecostos, profesionistas que emigran hacia mercados donde su conocimiento es valorado y una brecha digital que se ensancha cada año.</w:t>
      </w:r>
    </w:p>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APUCMX es la respuesta de ingeniería a esa arquitectura rota. Una plataforma descentralizada de Análisis de Precios Unitarios (APU) que combina inteligencia regional, verificación técnica y un modelo económico donde el conocimiento genuino genera valor directo para quien lo produce.</w:t>
      </w:r>
    </w:p>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Su diferenciador fundamental es una capa de confianza invisible —tecnología blockchain tipo Polymarket— que garantiza que cada precio regional sea inmutable, trazable y generado por consenso real del mercado, no por la autoridad de una sola oficina. Para el profesionista, esto nunca es una barrera técnica: es simplemente la garantía de que el dato que consulta no puede haber sido manipulado.</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F05A28"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PROPUESTA DE VALOR</w:t>
            </w:r>
          </w:p>
        </w:tc>
        <w:tc>
          <w:tcPr>
            <w:tcW w:type="dxa" w:w="7460"/>
            <w:tcBorders>
              <w:top w:val="single" w:color="F05A28" w:sz="1"/>
              <w:left w:val="single" w:color="F05A28" w:sz="1"/>
              <w:bottom w:val="single" w:color="F05A28" w:sz="1"/>
              <w:right w:val="single" w:color="F05A28" w:sz="1"/>
            </w:tcBorders>
            <w:shd w:fill="FEF0EA"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APUCMX convierte los datos reales del mercado en precios unitarios verificados, regionalizados e inmutables. Los profesionistas que contribuyen acumulan créditos de utilidad $APUC. Los que consultan obtienen certeza técnica. La industria, por primera vez, construye sobre información honesta.</w:t>
            </w:r>
          </w:p>
        </w:tc>
      </w:tr>
    </w:tbl>
    <w:p>
      <w:pPr>
        <w:spacing w:before="0" w:after="0"/>
      </w:pPr>
      <w:r>
        <w:rPr>
          <w:rFonts w:ascii="Arial" w:cs="Arial" w:eastAsia="Arial" w:hAnsi="Arial"/>
          <w:b w:val="false"/>
          <w:bCs w:val="false"/>
          <w:i w:val="false"/>
          <w:iCs w:val="false"/>
          <w:caps w:val="false"/>
          <w:color w:val="2E2E2E"/>
          <w:sz w:val="10"/>
          <w:szCs w:val="10"/>
        </w:rPr>
        <w:t xml:space="preserve"/>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I. El Problema: La Falla en Nuestra Industria</w:t>
      </w:r>
    </w:p>
    <w:p>
      <w:pPr>
        <w:spacing w:before="380" w:after="100"/>
      </w:pPr>
      <w:r>
        <w:rPr>
          <w:rFonts w:ascii="Arial" w:cs="Arial" w:eastAsia="Arial" w:hAnsi="Arial"/>
          <w:b/>
          <w:bCs/>
          <w:i w:val="false"/>
          <w:iCs w:val="false"/>
          <w:caps w:val="false"/>
          <w:color w:val="1C1C1C"/>
          <w:sz w:val="26"/>
          <w:szCs w:val="26"/>
        </w:rPr>
        <w:t xml:space="preserve">1.1 La Arquitectura Invisible del Fracaso</w:t>
      </w:r>
    </w:p>
    <w:p>
      <w:pPr>
        <w:spacing w:before="90" w:after="90" w:line="364"/>
        <w:jc w:val="both"/>
      </w:pPr>
      <w:r>
        <w:rPr>
          <w:rFonts w:ascii="Arial" w:cs="Arial" w:eastAsia="Arial" w:hAnsi="Arial"/>
          <w:b w:val="false"/>
          <w:bCs w:val="false"/>
          <w:i w:val="false"/>
          <w:iCs w:val="false"/>
          <w:caps w:val="false"/>
          <w:color w:val="2E2E2E"/>
          <w:sz w:val="22"/>
          <w:szCs w:val="22"/>
        </w:rPr>
        <w:t xml:space="preserve">Existe en la industria AEC una arquitectura invisible de la que raramente se habla con claridad: la estructura de ineficiencias sistémicas que hace que proyectos bien intencionados se pierdan en sobrecostos, que presupuestos técnicamente elaborados caduquen en meses, y que el talento más preparado termine desempeñando funciones de capturista de datos.</w:t>
      </w:r>
    </w:p>
    <w:p>
      <w:pPr>
        <w:spacing w:before="90" w:after="90" w:line="364"/>
        <w:jc w:val="both"/>
      </w:pPr>
      <w:r>
        <w:rPr>
          <w:rFonts w:ascii="Arial" w:cs="Arial" w:eastAsia="Arial" w:hAnsi="Arial"/>
          <w:b w:val="false"/>
          <w:bCs w:val="false"/>
          <w:i w:val="false"/>
          <w:iCs w:val="false"/>
          <w:caps w:val="false"/>
          <w:color w:val="2E2E2E"/>
          <w:sz w:val="22"/>
          <w:szCs w:val="22"/>
        </w:rPr>
        <w:t xml:space="preserve">Esta arquitectura no es visible en ningún plano, ni en ningún BIM. Pero sus efectos son palpables en cada obra que cierra con un diferencial no planificado entre el presupuesto original y el costo final. Según análisis de seguimiento en mercados latinoamericanos con estructuras similares al mexicano, ese diferencial oscila entre el 15 y el 30% en proyectos de mediana complejidad —y la principal causa trazable es la obsolescencia o no-regionalización de los datos de costo utilizados.</w:t>
      </w:r>
    </w:p>
    <w:p>
      <w:pPr>
        <w:spacing w:before="90" w:after="90" w:line="364"/>
        <w:jc w:val="both"/>
      </w:pPr>
      <w:r>
        <w:rPr>
          <w:rFonts w:ascii="Arial" w:cs="Arial" w:eastAsia="Arial" w:hAnsi="Arial"/>
          <w:b w:val="false"/>
          <w:bCs w:val="false"/>
          <w:i w:val="false"/>
          <w:iCs w:val="false"/>
          <w:caps w:val="false"/>
          <w:color w:val="2E2E2E"/>
          <w:sz w:val="22"/>
          <w:szCs w:val="22"/>
        </w:rPr>
        <w:t xml:space="preserve">La automatización de procesos —que a lo largo de la historia ha sido el mecanismo por el cual las sociedades liberan talento de tareas repetitivas para redirigirlo hacia trabajo de mayor valor— nunca llegó de forma sistemática a la gestión de datos de costo en la construcción. En casi todos los demás sectores industriales, los datos operativos se capturan, verifican y distribuyen en tiempo real. En la construcción, un estimador aún trabaja frecuentemente con un catálogo heredado de fuente incierta.</w:t>
      </w:r>
    </w:p>
    <w:p>
      <w:pPr>
        <w:spacing w:before="0" w:after="0"/>
      </w:pPr>
      <w:r>
        <w:rPr>
          <w:rFonts w:ascii="Arial" w:cs="Arial" w:eastAsia="Arial" w:hAnsi="Arial"/>
          <w:b w:val="false"/>
          <w:bCs w:val="false"/>
          <w:i w:val="false"/>
          <w:iCs w:val="false"/>
          <w:caps w:val="false"/>
          <w:color w:val="2E2E2E"/>
          <w:sz w:val="10"/>
          <w:szCs w:val="10"/>
        </w:rPr>
        <w:t xml:space="preserve"/>
      </w:r>
    </w:p>
    <w:p>
      <w:pPr>
        <w:pBdr>
          <w:left w:val="thick" w:color="F05A28" w:sz="20" w:space="22"/>
          <w:right w:val="thick" w:color="F05A28" w:sz="20" w:space="22"/>
        </w:pBdr>
        <w:spacing w:before="360" w:after="360"/>
        <w:ind w:left="1080" w:right="1080"/>
        <w:jc w:val="center"/>
      </w:pPr>
      <w:r>
        <w:rPr>
          <w:rFonts w:ascii="Arial" w:cs="Arial" w:eastAsia="Arial" w:hAnsi="Arial"/>
          <w:b/>
          <w:bCs/>
          <w:i/>
          <w:iCs/>
          <w:caps w:val="false"/>
          <w:color w:val="1C1C1C"/>
          <w:sz w:val="25"/>
          <w:szCs w:val="25"/>
        </w:rPr>
        <w:t xml:space="preserve">La falla no está en la tecnología disponible. Está en la ausencia de la infraestructura que conecte esa tecnología con el problema real del mercado.</w:t>
      </w:r>
    </w:p>
    <w:p>
      <w:pPr>
        <w:spacing w:before="380" w:after="100"/>
      </w:pPr>
      <w:r>
        <w:rPr>
          <w:rFonts w:ascii="Arial" w:cs="Arial" w:eastAsia="Arial" w:hAnsi="Arial"/>
          <w:b/>
          <w:bCs/>
          <w:i w:val="false"/>
          <w:iCs w:val="false"/>
          <w:caps w:val="false"/>
          <w:color w:val="1C1C1C"/>
          <w:sz w:val="26"/>
          <w:szCs w:val="26"/>
        </w:rPr>
        <w:t xml:space="preserve">1.2 El Efecto Trump: Cuando la Volatilidad Rompe los Modelos</w:t>
      </w:r>
    </w:p>
    <w:p>
      <w:pPr>
        <w:spacing w:before="90" w:after="90" w:line="364"/>
        <w:jc w:val="both"/>
      </w:pPr>
      <w:r>
        <w:rPr>
          <w:rFonts w:ascii="Arial" w:cs="Arial" w:eastAsia="Arial" w:hAnsi="Arial"/>
          <w:b w:val="false"/>
          <w:bCs w:val="false"/>
          <w:i w:val="false"/>
          <w:iCs w:val="false"/>
          <w:caps w:val="false"/>
          <w:color w:val="2E2E2E"/>
          <w:sz w:val="22"/>
          <w:szCs w:val="22"/>
        </w:rPr>
        <w:t xml:space="preserve">El año 2025 proveyó un caso de estudio en tiempo real sobre la fragilidad del modelo actual. Las políticas arancelarias implementadas por la administración Trump sobre acero, aluminio y derivados petroquímicos generaron una cadena de efectos que ningún APU elaborado con anterioridad podía absorber correctamente:</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Acero Estructural</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Concreto Premezclado</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PVC e Impermeabilizantes</w:t>
            </w:r>
          </w:p>
        </w:tc>
      </w:tr>
      <w:tr>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Oscilaciones superiores al 18% en un período de seis meses en zonas con alta dependencia de importación. Un precio fijado en enero era indefendible en julio.</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Variaciones regionales del 12 al 22% entre zonas metropolitanas y estados fronterizos. El mismo m³ tiene estructuras de costo radicalmente distintas en CDMX y en Tijuana.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Incrementos sostenidos vinculados a cadenas petroquímicas. Materiales de uso cotidiano con volatilidad no anticipada en ningún catálogo elaborado doce meses antes.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La respuesta instintiva del mercado fue la más costosa posible: ampliar los márgenes de contingencia de forma genérica, lo que encarece las propuestas, reduce la competitividad y penaliza a los contratistas más responsables técnicamente en favor de los que simplemente cotizan más alto por precaución.</w:t>
      </w:r>
    </w:p>
    <w:p>
      <w:pPr>
        <w:spacing w:before="90" w:after="90" w:line="364"/>
        <w:jc w:val="both"/>
      </w:pPr>
      <w:r>
        <w:rPr>
          <w:rFonts w:ascii="Arial" w:cs="Arial" w:eastAsia="Arial" w:hAnsi="Arial"/>
          <w:b w:val="false"/>
          <w:bCs w:val="false"/>
          <w:i w:val="false"/>
          <w:iCs w:val="false"/>
          <w:caps w:val="false"/>
          <w:color w:val="2E2E2E"/>
          <w:sz w:val="22"/>
          <w:szCs w:val="22"/>
        </w:rPr>
        <w:t xml:space="preserve">La respuesta de ingeniería correcta es distinta: construir un mecanismo que aísle el impacto de la volatilidad con precisión regional, que actualice los precios de consenso de forma continua y que permita al profesionista trabajar con el precio real de su mercado de aprovisionamiento, no con una media nacional que no refleja ninguna realidad específica.</w:t>
      </w:r>
    </w:p>
    <w:p>
      <w:pPr>
        <w:spacing w:before="90" w:after="90" w:line="364"/>
        <w:jc w:val="both"/>
      </w:pPr>
      <w:r>
        <w:rPr>
          <w:rFonts w:ascii="Arial" w:cs="Arial" w:eastAsia="Arial" w:hAnsi="Arial"/>
          <w:b w:val="false"/>
          <w:bCs w:val="false"/>
          <w:i w:val="false"/>
          <w:iCs w:val="false"/>
          <w:caps w:val="false"/>
          <w:color w:val="2E2E2E"/>
          <w:sz w:val="22"/>
          <w:szCs w:val="22"/>
        </w:rPr>
        <w:t xml:space="preserve">Eso es exactamente lo que hace APUCMX.</w:t>
      </w:r>
    </w:p>
    <w:p>
      <w:pPr>
        <w:spacing w:before="380" w:after="100"/>
      </w:pPr>
      <w:r>
        <w:rPr>
          <w:rFonts w:ascii="Arial" w:cs="Arial" w:eastAsia="Arial" w:hAnsi="Arial"/>
          <w:b/>
          <w:bCs/>
          <w:i w:val="false"/>
          <w:iCs w:val="false"/>
          <w:caps w:val="false"/>
          <w:color w:val="1C1C1C"/>
          <w:sz w:val="26"/>
          <w:szCs w:val="26"/>
        </w:rPr>
        <w:t xml:space="preserve">1.3 El Retraso del Talento Digital: Ingenieros Atrapados en lo Manual</w:t>
      </w:r>
    </w:p>
    <w:p>
      <w:pPr>
        <w:spacing w:before="90" w:after="90" w:line="364"/>
        <w:jc w:val="both"/>
      </w:pPr>
      <w:r>
        <w:rPr>
          <w:rFonts w:ascii="Arial" w:cs="Arial" w:eastAsia="Arial" w:hAnsi="Arial"/>
          <w:b w:val="false"/>
          <w:bCs w:val="false"/>
          <w:i w:val="false"/>
          <w:iCs w:val="false"/>
          <w:caps w:val="false"/>
          <w:color w:val="2E2E2E"/>
          <w:sz w:val="22"/>
          <w:szCs w:val="22"/>
        </w:rPr>
        <w:t xml:space="preserve">Existe una dimensión del problema que rara vez aparece en los análisis técnicos pero que cualquier director de proyecto reconoce al instante: los ingenieros arquitectos mexicanos —formados para pensar sistémicamente, para integrar criterio estético y rigor estructural, para resolver problemas de alta complejidad— pasan una fracción desproporcionada de su tiempo productivo haciendo trabajo que no requiere ese nivel de formación.</w:t>
      </w:r>
    </w:p>
    <w:p>
      <w:pPr>
        <w:spacing w:before="90" w:after="90" w:line="364"/>
        <w:jc w:val="both"/>
      </w:pPr>
      <w:r>
        <w:rPr>
          <w:rFonts w:ascii="Arial" w:cs="Arial" w:eastAsia="Arial" w:hAnsi="Arial"/>
          <w:b w:val="false"/>
          <w:bCs w:val="false"/>
          <w:i w:val="false"/>
          <w:iCs w:val="false"/>
          <w:caps w:val="false"/>
          <w:color w:val="2E2E2E"/>
          <w:sz w:val="22"/>
          <w:szCs w:val="22"/>
        </w:rPr>
        <w:t xml:space="preserve">Capturan datos en hojas de cálculo. Dibujan líneas en AutoCAD sin explorar el 80% de las capacidades del software. Construyen modelos BIM que nadie lee aguas abajo del proyecto. Elaboran APUs con catálogos heredados de fuente incierta. El conocimiento técnico genuino se atomiza; la inteligencia colectiva de la industria se desperdicia en tareas que la automatización podría resolver.</w:t>
      </w:r>
    </w:p>
    <w:p>
      <w:pPr>
        <w:spacing w:before="90" w:after="90" w:line="364"/>
        <w:jc w:val="both"/>
      </w:pPr>
      <w:r>
        <w:rPr>
          <w:rFonts w:ascii="Arial" w:cs="Arial" w:eastAsia="Arial" w:hAnsi="Arial"/>
          <w:b w:val="false"/>
          <w:bCs w:val="false"/>
          <w:i w:val="false"/>
          <w:iCs w:val="false"/>
          <w:caps w:val="false"/>
          <w:color w:val="2E2E2E"/>
          <w:sz w:val="22"/>
          <w:szCs w:val="22"/>
        </w:rPr>
        <w:t xml:space="preserve">El resultado estructural es un ciclo de pérdida de talento: el profesionista que domina BIM, programación paramétrica y gestión de activos digitales encuentra rápidamente que ese conocimiento no tiene un mercado explícito en la industria local. Emigra —física o digitalmente— hacia entornos donde las habilidades técnicas avanzadas son reconocidas y compensadas. La industria local queda con el problema sin la solución.</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DIAGNÓSTICO CLAVE</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El problema no es ausencia de talento. Es ausencia de la infraestructura económica que haga que ese talento sea reconocido y retribuido dentro del ecosistema local. APUCMX construye esa infraestructura.</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380" w:after="100"/>
      </w:pPr>
      <w:r>
        <w:rPr>
          <w:rFonts w:ascii="Arial" w:cs="Arial" w:eastAsia="Arial" w:hAnsi="Arial"/>
          <w:b/>
          <w:bCs/>
          <w:i w:val="false"/>
          <w:iCs w:val="false"/>
          <w:caps w:val="false"/>
          <w:color w:val="1C1C1C"/>
          <w:sz w:val="26"/>
          <w:szCs w:val="26"/>
        </w:rPr>
        <w:t xml:space="preserve">1.4 La Subjetividad como Ineficiencia Estructural</w:t>
      </w:r>
    </w:p>
    <w:p>
      <w:pPr>
        <w:spacing w:before="90" w:after="90" w:line="364"/>
        <w:jc w:val="both"/>
      </w:pPr>
      <w:r>
        <w:rPr>
          <w:rFonts w:ascii="Arial" w:cs="Arial" w:eastAsia="Arial" w:hAnsi="Arial"/>
          <w:b w:val="false"/>
          <w:bCs w:val="false"/>
          <w:i w:val="false"/>
          <w:iCs w:val="false"/>
          <w:caps w:val="false"/>
          <w:color w:val="2E2E2E"/>
          <w:sz w:val="22"/>
          <w:szCs w:val="22"/>
        </w:rPr>
        <w:t xml:space="preserve">En la industria de la construcción mexicana, el concepto de precios unitarios —el costo de ejecutar un trabajo por unidad de medida— debería ser el lenguaje técnico común entre todos los actores. En la práctica, cada actor llega a la mesa con su propio diccionario, construido sobre supuestos distintos, fuentes distintas y referencias geográficas distintas.</w:t>
      </w:r>
    </w:p>
    <w:p>
      <w:pPr>
        <w:spacing w:before="90" w:after="90" w:line="364"/>
        <w:jc w:val="both"/>
      </w:pPr>
      <w:r>
        <w:rPr>
          <w:rFonts w:ascii="Arial" w:cs="Arial" w:eastAsia="Arial" w:hAnsi="Arial"/>
          <w:b w:val="false"/>
          <w:bCs w:val="false"/>
          <w:i w:val="false"/>
          <w:iCs w:val="false"/>
          <w:caps w:val="false"/>
          <w:color w:val="2E2E2E"/>
          <w:sz w:val="22"/>
          <w:szCs w:val="22"/>
        </w:rPr>
        <w:t xml:space="preserve">Esta asimetría de información no requiere mala fe para generar daño. Basta con que clientes y contratistas operen con datos de calidad radicalmente diferente para que el proceso de estimación se convierta en una negociación de supuestos en lugar de una conversación técnica sobre datos compartidos. La consecuencia directa es la ineficiencia estructural: sobrecostos no planificados, disputas contractuales, y una pérdida de valor que nadie paga explícitamente pero que todos absorben.</w:t>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II. La Solución: APUCMX como Red de Consenso P2P Regional</w:t>
      </w:r>
    </w:p>
    <w:p>
      <w:pPr>
        <w:spacing w:before="380" w:after="100"/>
      </w:pPr>
      <w:r>
        <w:rPr>
          <w:rFonts w:ascii="Arial" w:cs="Arial" w:eastAsia="Arial" w:hAnsi="Arial"/>
          <w:b/>
          <w:bCs/>
          <w:i w:val="false"/>
          <w:iCs w:val="false"/>
          <w:caps w:val="false"/>
          <w:color w:val="1C1C1C"/>
          <w:sz w:val="26"/>
          <w:szCs w:val="26"/>
        </w:rPr>
        <w:t xml:space="preserve">2.1 Principios de Diseño: Tres Compromisos No Negociables</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no es un catálogo digital. Es una red de consenso: un sistema donde el precio correcto emerge de la agregación verificada de datos reales del mercado, no de la autoridad de una entidad central. Su arquitectura responde a tres principios que definen todo lo que hace:</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F05A28"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INMUTABILIDAD</w:t>
            </w:r>
          </w:p>
        </w:tc>
        <w:tc>
          <w:tcPr>
            <w:tcW w:type="dxa" w:w="7460"/>
            <w:tcBorders>
              <w:top w:val="single" w:color="F05A28" w:sz="1"/>
              <w:left w:val="single" w:color="F05A28" w:sz="1"/>
              <w:bottom w:val="single" w:color="F05A28" w:sz="1"/>
              <w:right w:val="single" w:color="F05A28" w:sz="1"/>
            </w:tcBorders>
            <w:shd w:fill="FEF0EA"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Cada precio registrado en APUCMX queda anclado en blockchain con marca de tiempo, identidad del contribuidor y referencia geográfica. Nadie puede alterar retroactivamente un dato registrado. El historial es permanente, público y auditable. No es una promesa: es una propiedad matemática del sistema.</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F05A28"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REGIONALIZACIÓN</w:t>
            </w:r>
          </w:p>
        </w:tc>
        <w:tc>
          <w:tcPr>
            <w:tcW w:type="dxa" w:w="7460"/>
            <w:tcBorders>
              <w:top w:val="single" w:color="F05A28" w:sz="1"/>
              <w:left w:val="single" w:color="F05A28" w:sz="1"/>
              <w:bottom w:val="single" w:color="F05A28" w:sz="1"/>
              <w:right w:val="single" w:color="F05A28" w:sz="1"/>
            </w:tcBorders>
            <w:shd w:fill="FEF0EA"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CDMX no es Tijuana. Tijuana no es el Bajío. APUCMX opera con capas geográficas que reconocen la heterogeneidad real del mercado mexicano: precios por zona metropolitana, corredor logístico y municipio. Un APU para obra en Polanco integra automáticamente costos del mercado local verificado, no una media nacional.</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F05A28"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CONSENSO DISTRIBUIDO</w:t>
            </w:r>
          </w:p>
        </w:tc>
        <w:tc>
          <w:tcPr>
            <w:tcW w:type="dxa" w:w="7460"/>
            <w:tcBorders>
              <w:top w:val="single" w:color="F05A28" w:sz="1"/>
              <w:left w:val="single" w:color="F05A28" w:sz="1"/>
              <w:bottom w:val="single" w:color="F05A28" w:sz="1"/>
              <w:right w:val="single" w:color="F05A28" w:sz="1"/>
            </w:tcBorders>
            <w:shd w:fill="FEF0EA"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Los precios no los fija ninguna autoridad central. Emergen del proceso de contribución, verificación cruzada y validación técnica de la comunidad de profesionistas. El precio de consenso es aquel en el que converge un porcentaje estadísticamente significativo de contribuciones verificadas en una región y período determinados.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380" w:after="100"/>
      </w:pPr>
      <w:r>
        <w:rPr>
          <w:rFonts w:ascii="Arial" w:cs="Arial" w:eastAsia="Arial" w:hAnsi="Arial"/>
          <w:b/>
          <w:bCs/>
          <w:i w:val="false"/>
          <w:iCs w:val="false"/>
          <w:caps w:val="false"/>
          <w:color w:val="1C1C1C"/>
          <w:sz w:val="26"/>
          <w:szCs w:val="26"/>
        </w:rPr>
        <w:t xml:space="preserve">2.2 La Capa de Confianza Invisible: Blockchain sin Fricción</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usa blockchain. Para la gran mayoría de sus usuarios, esto nunca será visible, configurable ni relevante como concepto técnico. La blockchain es la infraestructura de fondo —comparable al sistema GPS en la navegación o al protocolo HTTPS en la navegación web— que garantiza propiedades que el usuario da por sentadas sin necesidad de entenderlas.</w:t>
      </w:r>
    </w:p>
    <w:p>
      <w:pPr>
        <w:spacing w:before="90" w:after="90" w:line="364"/>
        <w:jc w:val="both"/>
      </w:pPr>
      <w:r>
        <w:rPr>
          <w:rFonts w:ascii="Arial" w:cs="Arial" w:eastAsia="Arial" w:hAnsi="Arial"/>
          <w:b w:val="false"/>
          <w:bCs w:val="false"/>
          <w:i w:val="false"/>
          <w:iCs w:val="false"/>
          <w:caps w:val="false"/>
          <w:color w:val="2E2E2E"/>
          <w:sz w:val="22"/>
          <w:szCs w:val="22"/>
        </w:rPr>
        <w:t xml:space="preserve">La analogía más precisa es Polymarket: millones de usuarios operan en esa plataforma de predicciones sin conocer los protocolos de Polygon ni los mecanismos de smart contracts que garantizan que los pagos se liquidan conforme a las reglas. La experiencia en el frente es una interfaz limpia; la blockchain trabaja en el fondo garantizando que las reglas no puedan ser violadas.</w:t>
      </w:r>
    </w:p>
    <w:p>
      <w:pPr>
        <w:spacing w:before="90" w:after="90" w:line="364"/>
        <w:jc w:val="both"/>
      </w:pPr>
      <w:r>
        <w:rPr>
          <w:rFonts w:ascii="Arial" w:cs="Arial" w:eastAsia="Arial" w:hAnsi="Arial"/>
          <w:b w:val="false"/>
          <w:bCs w:val="false"/>
          <w:i w:val="false"/>
          <w:iCs w:val="false"/>
          <w:caps w:val="false"/>
          <w:color w:val="2E2E2E"/>
          <w:sz w:val="22"/>
          <w:szCs w:val="22"/>
        </w:rPr>
        <w:t xml:space="preserve">En APUCMX, el resultado práctico es uno: cuando un profesionista consulta un precio con Sello de Auditoría Técnica, sabe con certeza que ese dato no ha sido manipulado, que tiene una fuente trazable y que tiene una referencia geográfica verificada. No porque alguien lo promete: porque la arquitectura del sistema hace imposible que sea de otra manera.</w:t>
      </w:r>
    </w:p>
    <w:p>
      <w:pPr>
        <w:spacing w:before="380" w:after="100"/>
      </w:pPr>
      <w:r>
        <w:rPr>
          <w:rFonts w:ascii="Arial" w:cs="Arial" w:eastAsia="Arial" w:hAnsi="Arial"/>
          <w:b/>
          <w:bCs/>
          <w:i w:val="false"/>
          <w:iCs w:val="false"/>
          <w:caps w:val="false"/>
          <w:color w:val="1C1C1C"/>
          <w:sz w:val="26"/>
          <w:szCs w:val="26"/>
        </w:rPr>
        <w:t xml:space="preserve">2.3 El Filtro Regional: Inteligencia de Mercado en Tiempo Real</w:t>
      </w:r>
    </w:p>
    <w:p>
      <w:pPr>
        <w:spacing w:before="90" w:after="90" w:line="364"/>
        <w:jc w:val="both"/>
      </w:pPr>
      <w:r>
        <w:rPr>
          <w:rFonts w:ascii="Arial" w:cs="Arial" w:eastAsia="Arial" w:hAnsi="Arial"/>
          <w:b w:val="false"/>
          <w:bCs w:val="false"/>
          <w:i w:val="false"/>
          <w:iCs w:val="false"/>
          <w:caps w:val="false"/>
          <w:color w:val="2E2E2E"/>
          <w:sz w:val="22"/>
          <w:szCs w:val="22"/>
        </w:rPr>
        <w:t xml:space="preserve">La herramienta más operativamente poderosa de APUCMX es su sistema de filtrado regional. No es una categorización cosmética: es el mecanismo que convierte una base de datos de precios en inteligencia de mercado accionable para la realidad específica de cada proyecto.</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CDMX · Zona Metropolitana</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Norte · Tijuana · Monterrey · Juárez</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Bajío · Occidente · Sur</w:t>
            </w:r>
          </w:p>
        </w:tc>
      </w:tr>
      <w:tr>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Mano de obra local con tarifas sindicalizadas y no sindicalizadas diferenciadas, materiales con flete desde proveedores del corredor norte y sur, tiempos de entrega validados por zona de obra.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Mercado con alta sensibilidad arancelaria y exposición directa al tipo de cambio peso-dólar. Precios con actualización de mayor frecuencia durante períodos de volatilidad fronteriza.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Cadenas de suministro diferenciadas, disponibilidad de mano de obra local con rendimientos propios y costos de transporte que generan estructuras de precio únicas e incomparables con otras regiones.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Cuando los aranceles de la administración Trump generan presión sobre los precios del acero, el filtro regional de APUCMX permite al estimador en Tijuana ver el impacto real en su mercado de aprovisionamiento específico, sin que ese impacto quede diluido en una media nacional que no representa a nadie. La inteligencia regional no es una funcionalidad adicional: es la razón por la que APUCMX existe.</w:t>
      </w:r>
    </w:p>
    <w:p>
      <w:pPr>
        <w:spacing w:before="380" w:after="100"/>
      </w:pPr>
      <w:r>
        <w:rPr>
          <w:rFonts w:ascii="Arial" w:cs="Arial" w:eastAsia="Arial" w:hAnsi="Arial"/>
          <w:b/>
          <w:bCs/>
          <w:i w:val="false"/>
          <w:iCs w:val="false"/>
          <w:caps w:val="false"/>
          <w:color w:val="1C1C1C"/>
          <w:sz w:val="26"/>
          <w:szCs w:val="26"/>
        </w:rPr>
        <w:t xml:space="preserve">2.4 UX de Alta Productividad: El Inbox de Precios</w:t>
      </w:r>
    </w:p>
    <w:p>
      <w:pPr>
        <w:spacing w:before="90" w:after="90" w:line="364"/>
        <w:jc w:val="both"/>
      </w:pPr>
      <w:r>
        <w:rPr>
          <w:rFonts w:ascii="Arial" w:cs="Arial" w:eastAsia="Arial" w:hAnsi="Arial"/>
          <w:b w:val="false"/>
          <w:bCs w:val="false"/>
          <w:i w:val="false"/>
          <w:iCs w:val="false"/>
          <w:caps w:val="false"/>
          <w:color w:val="2E2E2E"/>
          <w:sz w:val="22"/>
          <w:szCs w:val="22"/>
        </w:rPr>
        <w:t xml:space="preserve">Los catálogos de precios tradicionales —archivos PDF de cientos de páginas, bases de datos de acceso complejo, interfaces heredadas de los años noventa— fueron diseñados para ser almacenados, no consultados. APUCMX invierte ese paradigma: está diseñada para el flujo de trabajo real del profesionista técnico en 2025.</w:t>
      </w:r>
    </w:p>
    <w:p>
      <w:pPr>
        <w:spacing w:before="90" w:after="90" w:line="364"/>
        <w:jc w:val="both"/>
      </w:pPr>
      <w:r>
        <w:rPr>
          <w:rFonts w:ascii="Arial" w:cs="Arial" w:eastAsia="Arial" w:hAnsi="Arial"/>
          <w:b w:val="false"/>
          <w:bCs w:val="false"/>
          <w:i w:val="false"/>
          <w:iCs w:val="false"/>
          <w:caps w:val="false"/>
          <w:color w:val="2E2E2E"/>
          <w:sz w:val="22"/>
          <w:szCs w:val="22"/>
        </w:rPr>
        <w:t xml:space="preserve">La experiencia de búsqueda sigue una arquitectura de Inbox —familiar para cualquier usuario de sistemas modernos de gestión— adaptada a la densidad informativa de un análisis de precios:</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PASO 1  ·  VISTA LISTA</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El usuario accede a una lista lineal de conceptos de obra. Cada fila muestra: concepto, unidad de medida, precio regional de consenso, indicador de variación mensual y estado de verificación técnica. La vista es densa, escaneable y ordenada por relevancia. Sin menús anidados, sin navegación de múltiples pantallas.</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PASO 2  ·  PANEL LATERAL DE MATRIZ</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Al seleccionar cualquier concepto, un panel lateral deslizante expone la descomposición completa del APU: materiales con origen geográfico verificado, rendimientos de mano de obra por categoría, costos de equipo y herramienta, indirectos aplicables y referencias de mercado con marca de tiempo inmutable. Sin cambiar de pantalla, sin perder el contexto de la lista principal.</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PASO 3  ·  EXPORTACIÓN DIRECTA</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Con un clic, la matriz completa se exporta en formato compatible con Revit, Excel o PDF con Sello de Auditoría Técnica, listo para integrarse al expediente del proyecto sin reelaboración.</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Este flujo elimina la fricción cognitiva que hace que los catálogos tradicionales sean evitados por los profesionistas más ocupados, que son precisamente quienes más necesitan datos verificados.</w:t>
      </w:r>
    </w:p>
    <w:p>
      <w:pPr>
        <w:spacing w:before="380" w:after="100"/>
      </w:pPr>
      <w:r>
        <w:rPr>
          <w:rFonts w:ascii="Arial" w:cs="Arial" w:eastAsia="Arial" w:hAnsi="Arial"/>
          <w:b/>
          <w:bCs/>
          <w:i w:val="false"/>
          <w:iCs w:val="false"/>
          <w:caps w:val="false"/>
          <w:color w:val="1C1C1C"/>
          <w:sz w:val="26"/>
          <w:szCs w:val="26"/>
        </w:rPr>
        <w:t xml:space="preserve">2.5 El Sello de Auditoría Técnica: Confianza Verificable</w:t>
      </w:r>
    </w:p>
    <w:p>
      <w:pPr>
        <w:spacing w:before="90" w:after="90" w:line="364"/>
        <w:jc w:val="both"/>
      </w:pPr>
      <w:r>
        <w:rPr>
          <w:rFonts w:ascii="Arial" w:cs="Arial" w:eastAsia="Arial" w:hAnsi="Arial"/>
          <w:b w:val="false"/>
          <w:bCs w:val="false"/>
          <w:i w:val="false"/>
          <w:iCs w:val="false"/>
          <w:caps w:val="false"/>
          <w:color w:val="2E2E2E"/>
          <w:sz w:val="22"/>
          <w:szCs w:val="22"/>
        </w:rPr>
        <w:t xml:space="preserve">Todo dato que circula en APUCMX como referencia verificada ha pasado por un protocolo de auditoría técnica que evalúa su integridad antes de registrarlo en la red. Este protocolo —diseñado con los estándares de la práctica profesional AEC y ejecutado por una combinación de validación automatizada y revisión técnica especializada— cubre cuatro dimensiones:</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Trazabilidad de fuente: los insumos declarados tienen origen geográfico verificable y proveedor identificable.</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Coherencia de rendimientos: las tasas de producción de mano de obra son consistentes con los estándares de industria para la categoría y región declaradas.</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Completitud del análisis: la descomposición del APU incluye todos los componentes exigibles para la especialidad y tipo de obra.</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Coherencia geográfica: el precio total es consistente con el rango de consenso regional para el período de contribución.</w:t>
      </w:r>
    </w:p>
    <w:p>
      <w:pPr>
        <w:spacing w:before="90" w:after="90" w:line="364"/>
        <w:jc w:val="both"/>
      </w:pPr>
      <w:r>
        <w:rPr>
          <w:rFonts w:ascii="Arial" w:cs="Arial" w:eastAsia="Arial" w:hAnsi="Arial"/>
          <w:b w:val="false"/>
          <w:bCs w:val="false"/>
          <w:i w:val="false"/>
          <w:iCs w:val="false"/>
          <w:caps w:val="false"/>
          <w:color w:val="2E2E2E"/>
          <w:sz w:val="22"/>
          <w:szCs w:val="22"/>
        </w:rPr>
        <w:t xml:space="preserve">Las matrices que superan este protocolo obtienen el Sello de Auditoría Técnica y se registran en blockchain. Las que no lo superan quedan en estado pendiente con retroalimentación específica para el contribuidor. El sello no es decorativo: es la prueba verificable de que un dato es técnicamente íntegro.</w:t>
      </w:r>
    </w:p>
    <w:p>
      <w:pPr>
        <w:spacing w:before="0" w:after="0"/>
      </w:pPr>
      <w:r>
        <w:rPr>
          <w:rFonts w:ascii="Arial" w:cs="Arial" w:eastAsia="Arial" w:hAnsi="Arial"/>
          <w:b w:val="false"/>
          <w:bCs w:val="false"/>
          <w:i w:val="false"/>
          <w:iCs w:val="false"/>
          <w:caps w:val="false"/>
          <w:color w:val="2E2E2E"/>
          <w:sz w:val="10"/>
          <w:szCs w:val="10"/>
        </w:rPr>
        <w:t xml:space="preserve"/>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III. El Ecosistema de Valor: $APUC, Trade y Membresía</w:t>
      </w:r>
    </w:p>
    <w:p>
      <w:pPr>
        <w:spacing w:before="380" w:after="100"/>
      </w:pPr>
      <w:r>
        <w:rPr>
          <w:rFonts w:ascii="Arial" w:cs="Arial" w:eastAsia="Arial" w:hAnsi="Arial"/>
          <w:b/>
          <w:bCs/>
          <w:i w:val="false"/>
          <w:iCs w:val="false"/>
          <w:caps w:val="false"/>
          <w:color w:val="1C1C1C"/>
          <w:sz w:val="26"/>
          <w:szCs w:val="26"/>
        </w:rPr>
        <w:t xml:space="preserve">3.1 Data-to-Earn: El Conocimiento como Activo Económico</w:t>
      </w:r>
    </w:p>
    <w:p>
      <w:pPr>
        <w:spacing w:before="90" w:after="90" w:line="364"/>
        <w:jc w:val="both"/>
      </w:pPr>
      <w:r>
        <w:rPr>
          <w:rFonts w:ascii="Arial" w:cs="Arial" w:eastAsia="Arial" w:hAnsi="Arial"/>
          <w:b w:val="false"/>
          <w:bCs w:val="false"/>
          <w:i w:val="false"/>
          <w:iCs w:val="false"/>
          <w:caps w:val="false"/>
          <w:color w:val="2E2E2E"/>
          <w:sz w:val="22"/>
          <w:szCs w:val="22"/>
        </w:rPr>
        <w:t xml:space="preserve">El modelo de participación de APUCMX parte de una premisa simple pero radical para la industria AEC: los datos reales del mercado tienen valor económico intrínseco, y quienes los generan —los profesionistas que ejecutan obras, levantan precios y producen análisis de calidad— deberían participar en ese valor.</w:t>
      </w:r>
    </w:p>
    <w:p>
      <w:pPr>
        <w:spacing w:before="90" w:after="90" w:line="364"/>
        <w:jc w:val="both"/>
      </w:pPr>
      <w:r>
        <w:rPr>
          <w:rFonts w:ascii="Arial" w:cs="Arial" w:eastAsia="Arial" w:hAnsi="Arial"/>
          <w:b w:val="false"/>
          <w:bCs w:val="false"/>
          <w:i w:val="false"/>
          <w:iCs w:val="false"/>
          <w:caps w:val="false"/>
          <w:color w:val="2E2E2E"/>
          <w:sz w:val="22"/>
          <w:szCs w:val="22"/>
        </w:rPr>
        <w:t xml:space="preserve">El mecanismo que hace posible esa participación es el token de utilidad $APUC. No es un instrumento financiero ni un vehículo de especulación: es el sistema de créditos de utilidad que cuantifica y recompensa la contribución técnica verificada al ecosistema. Cada matriz APU que supera el protocolo de auditoría y se registra en la red genera créditos $APUC para su autor, proporcionales a la calidad técnica de la contribución y a su nivel de adopción por otros usuarios.</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¿Quién contribuye más?</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¿Cómo se usan los créditos?</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¿Por qué funciona?</w:t>
            </w:r>
          </w:p>
        </w:tc>
      </w:tr>
      <w:tr>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El profesionista con obra real, costos verificados y rendimientos empíricos. El sistema alinea recompensa con conocimiento genuino: quien más sabe, más aporta y más acumula.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Acceso a matrices de especialización avanzada, participación en el marketplace de activos digitales, canje de funcionalidades premium y transferencia en el mercado secundario del ecosistema.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Porque resuelve el problema de oferta de datos que ningún modelo de suscripción puede resolver: hace económicamente racional compartir conocimiento en lugar de guardarlo en silos privados.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380" w:after="100"/>
      </w:pPr>
      <w:r>
        <w:rPr>
          <w:rFonts w:ascii="Arial" w:cs="Arial" w:eastAsia="Arial" w:hAnsi="Arial"/>
          <w:b/>
          <w:bCs/>
          <w:i w:val="false"/>
          <w:iCs w:val="false"/>
          <w:caps w:val="false"/>
          <w:color w:val="1C1C1C"/>
          <w:sz w:val="26"/>
          <w:szCs w:val="26"/>
        </w:rPr>
        <w:t xml:space="preserve">3.2 El Trade Marketplace: Donde el Conocimiento Técnico Tiene Mercado</w:t>
      </w:r>
    </w:p>
    <w:p>
      <w:pPr>
        <w:spacing w:before="90" w:after="90" w:line="364"/>
        <w:jc w:val="both"/>
      </w:pPr>
      <w:r>
        <w:rPr>
          <w:rFonts w:ascii="Arial" w:cs="Arial" w:eastAsia="Arial" w:hAnsi="Arial"/>
          <w:b w:val="false"/>
          <w:bCs w:val="false"/>
          <w:i w:val="false"/>
          <w:iCs w:val="false"/>
          <w:caps w:val="false"/>
          <w:color w:val="2E2E2E"/>
          <w:sz w:val="22"/>
          <w:szCs w:val="22"/>
        </w:rPr>
        <w:t xml:space="preserve">El marketplace integrado de APUCMX es el espacio donde los créditos $APUC se convierten en valor concreto para el trabajo cotidiano, y donde el conocimiento técnico especializado tiene por primera vez un mercado explícito con precios determinados por la oferta y la demanda real.</w:t>
      </w:r>
    </w:p>
    <w:p>
      <w:pPr>
        <w:spacing w:before="90" w:after="90" w:line="364"/>
        <w:jc w:val="both"/>
      </w:pPr>
      <w:r>
        <w:rPr>
          <w:rFonts w:ascii="Arial" w:cs="Arial" w:eastAsia="Arial" w:hAnsi="Arial"/>
          <w:b w:val="false"/>
          <w:bCs w:val="false"/>
          <w:i w:val="false"/>
          <w:iCs w:val="false"/>
          <w:caps w:val="false"/>
          <w:color w:val="2E2E2E"/>
          <w:sz w:val="22"/>
          <w:szCs w:val="22"/>
        </w:rPr>
        <w:t xml:space="preserve">Todo activo listado en el marketplace requiere Sello de Auditoría Técnica como condición de publicación. No existe la posibilidad de listar un activo no verificado: la plataforma garantiza que lo que circula es técnicamente íntegro. Las categorías disponibles son:</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FAMILIAS BIM CERTIFICADAS</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Objetos Revit con parametrización completa, nomenclatura estandarizada conforme a las mejores prácticas de la industria y Nivel de Desarrollo (LOD) certificado para integración directa en proyectos de obra sin reelaboración. Cada familia tiene historial de adopciones, calificación técnica por pares y créditos acumulados para su creador.</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RUTINAS DE AUTOMATIZACIÓN</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Scripts AutoLISP para AutoCAD, rutinas Dynamo para Revit, macros para extracción de cantidades y otros componentes de automatización que multiplican la productividad del equipo técnico. El conocimiento que antes vivía en la memoria de un técnico senior ahora es un activo digital comercializable.</w:t>
            </w:r>
          </w:p>
        </w:tc>
      </w:tr>
    </w:tbl>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TEMPLATES APU ESPECIALIZADOS</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Matrices de análisis de precios preconfiguradas para especialidades específicas: instalaciones eléctricas de media tensión, sistemas hidráulicos y sanitarios, obra civil de infraestructura vial, sistemas de climatización. Metodología auditada, descomposición completa y referencias de mercado verificadas.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380" w:after="100"/>
      </w:pPr>
      <w:r>
        <w:rPr>
          <w:rFonts w:ascii="Arial" w:cs="Arial" w:eastAsia="Arial" w:hAnsi="Arial"/>
          <w:b/>
          <w:bCs/>
          <w:i w:val="false"/>
          <w:iCs w:val="false"/>
          <w:caps w:val="false"/>
          <w:color w:val="1C1C1C"/>
          <w:sz w:val="26"/>
          <w:szCs w:val="26"/>
        </w:rPr>
        <w:t xml:space="preserve">3.3 Membresía Mensual: El Plan del Creador</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opera con dos niveles de participación. El acceso de consulta permite a cualquier profesionista explorar la base de datos regional y exportar matrices. La Membresía Mensual del Creador desbloquea el modo de contribución activa y monetización del conocimiento.</w:t>
      </w:r>
    </w:p>
    <w:p>
      <w:pPr>
        <w:spacing w:before="90" w:after="90" w:line="364"/>
        <w:jc w:val="both"/>
      </w:pPr>
      <w:r>
        <w:rPr>
          <w:rFonts w:ascii="Arial" w:cs="Arial" w:eastAsia="Arial" w:hAnsi="Arial"/>
          <w:b w:val="false"/>
          <w:bCs w:val="false"/>
          <w:i w:val="false"/>
          <w:iCs w:val="false"/>
          <w:caps w:val="false"/>
          <w:color w:val="2E2E2E"/>
          <w:sz w:val="22"/>
          <w:szCs w:val="22"/>
        </w:rPr>
        <w:t xml:space="preserve">La membresía no es una suscripción a un software: es la llave de acceso a un mercado de conocimiento técnico verificado. El profesionista que activa el plan Creador puede:</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Subir matrices APU propias al protocolo de auditoría y, una vez verificadas, registrarlas en la red y acumular créditos $APUC por su adopción.</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Publicar familias Revit, rutinas de automatización y templates especializados en el marketplace con fijación propia de precio en créditos de utilidad.</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Acceder al panel de analítica de contribuciones: datos de adopción, créditos acumulados, calificación técnica por pares y posicionamiento regional.</w:t>
      </w:r>
    </w:p>
    <w:p>
      <w:pPr>
        <w:pStyle w:val="ListParagraph"/>
        <w:numPr>
          <w:ilvl w:val="0"/>
          <w:numId w:val="2"/>
        </w:numPr>
        <w:spacing w:before="70" w:after="70" w:line="340"/>
      </w:pPr>
      <w:r>
        <w:rPr>
          <w:rFonts w:ascii="Arial" w:cs="Arial" w:eastAsia="Arial" w:hAnsi="Arial"/>
          <w:b w:val="false"/>
          <w:bCs w:val="false"/>
          <w:i w:val="false"/>
          <w:iCs w:val="false"/>
          <w:caps w:val="false"/>
          <w:color w:val="2E2E2E"/>
          <w:sz w:val="22"/>
          <w:szCs w:val="22"/>
        </w:rPr>
        <w:t xml:space="preserve">Construir una reputación técnica verificable en blockchain —visible y portable— que diferencia al profesionista competente en cualquier proceso de selección.</w:t>
      </w:r>
    </w:p>
    <w:p>
      <w:pPr>
        <w:spacing w:before="90" w:after="90" w:line="364"/>
        <w:jc w:val="both"/>
      </w:pPr>
      <w:r>
        <w:rPr>
          <w:rFonts w:ascii="Arial" w:cs="Arial" w:eastAsia="Arial" w:hAnsi="Arial"/>
          <w:b w:val="false"/>
          <w:bCs w:val="false"/>
          <w:i w:val="false"/>
          <w:iCs w:val="false"/>
          <w:caps w:val="false"/>
          <w:color w:val="2E2E2E"/>
          <w:sz w:val="22"/>
          <w:szCs w:val="22"/>
        </w:rPr>
        <w:t xml:space="preserve">La Membresía Creador no es un gasto operativo: es una participación en un ecosistema donde el retorno es proporcional a la calidad del conocimiento que se aporta.</w:t>
      </w:r>
    </w:p>
    <w:p>
      <w:pPr>
        <w:spacing w:before="380" w:after="100"/>
      </w:pPr>
      <w:r>
        <w:rPr>
          <w:rFonts w:ascii="Arial" w:cs="Arial" w:eastAsia="Arial" w:hAnsi="Arial"/>
          <w:b/>
          <w:bCs/>
          <w:i w:val="false"/>
          <w:iCs w:val="false"/>
          <w:caps w:val="false"/>
          <w:color w:val="1C1C1C"/>
          <w:sz w:val="26"/>
          <w:szCs w:val="26"/>
        </w:rPr>
        <w:t xml:space="preserve">3.4 Seguridad de Pagos: Tokenización y Cumplimiento PCI</w:t>
      </w:r>
    </w:p>
    <w:p>
      <w:pPr>
        <w:spacing w:before="90" w:after="90" w:line="364"/>
        <w:jc w:val="both"/>
      </w:pPr>
      <w:r>
        <w:rPr>
          <w:rFonts w:ascii="Arial" w:cs="Arial" w:eastAsia="Arial" w:hAnsi="Arial"/>
          <w:b w:val="false"/>
          <w:bCs w:val="false"/>
          <w:i w:val="false"/>
          <w:iCs w:val="false"/>
          <w:caps w:val="false"/>
          <w:color w:val="2E2E2E"/>
          <w:sz w:val="22"/>
          <w:szCs w:val="22"/>
        </w:rPr>
        <w:t xml:space="preserve">Todos los pagos en APUCMX —membresías, adquisiciones en el marketplace, créditos de acceso— se procesan a través de pasarelas PCI-DSS Level 1 Certified. La plataforma implementa tokenización de medios de pago de extremo a extremo: el dato de la tarjeta viaja directamente a la pasarela certificada, que devuelve un token de referencia. APUCMX únicamente almacena ese token.</w:t>
      </w:r>
    </w:p>
    <w:p>
      <w:pPr>
        <w:spacing w:before="90" w:after="90" w:line="364"/>
        <w:jc w:val="both"/>
      </w:pPr>
      <w:r>
        <w:rPr>
          <w:rFonts w:ascii="Arial" w:cs="Arial" w:eastAsia="Arial" w:hAnsi="Arial"/>
          <w:b w:val="false"/>
          <w:bCs w:val="false"/>
          <w:i w:val="false"/>
          <w:iCs w:val="false"/>
          <w:caps w:val="false"/>
          <w:color w:val="2E2E2E"/>
          <w:sz w:val="22"/>
          <w:szCs w:val="22"/>
        </w:rPr>
        <w:t xml:space="preserve">En ningún momento se almacenan datos sensibles de tarjetas en los servidores de APUCMX. Si los sistemas fueran comprometidos, no habría datos financieros sensibles que exponer. La seguridad financiera del usuario está garantizada por arquitectura técnica, no por promesa contractual.</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F05A28"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SEGURIDAD DE PAGOS</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Tokenización de medios de pago · Pasarelas PCI-DSS Level 1 Certified · Cero almacenamiento de datos de tarjeta en servidores propios · Cifrado TLS 1.3 en tránsito · Auditoría de créditos $APUC registrada en blockchain · Transacciones del marketplace con trazabilidad técnica completa.</w:t>
            </w:r>
          </w:p>
        </w:tc>
      </w:tr>
    </w:tbl>
    <w:p>
      <w:pPr>
        <w:spacing w:before="0" w:after="0"/>
      </w:pPr>
      <w:r>
        <w:rPr>
          <w:rFonts w:ascii="Arial" w:cs="Arial" w:eastAsia="Arial" w:hAnsi="Arial"/>
          <w:b w:val="false"/>
          <w:bCs w:val="false"/>
          <w:i w:val="false"/>
          <w:iCs w:val="false"/>
          <w:caps w:val="false"/>
          <w:color w:val="2E2E2E"/>
          <w:sz w:val="10"/>
          <w:szCs w:val="10"/>
        </w:rPr>
        <w:t xml:space="preserve"/>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IV. Identidad Visual y Tecnología de Desarrollo</w:t>
      </w:r>
    </w:p>
    <w:p>
      <w:pPr>
        <w:spacing w:before="380" w:after="100"/>
      </w:pPr>
      <w:r>
        <w:rPr>
          <w:rFonts w:ascii="Arial" w:cs="Arial" w:eastAsia="Arial" w:hAnsi="Arial"/>
          <w:b/>
          <w:bCs/>
          <w:i w:val="false"/>
          <w:iCs w:val="false"/>
          <w:caps w:val="false"/>
          <w:color w:val="1C1C1C"/>
          <w:sz w:val="26"/>
          <w:szCs w:val="26"/>
        </w:rPr>
        <w:t xml:space="preserve">4.1 Industrial Organic: Diseño para el Profesionista Técnico</w:t>
      </w:r>
    </w:p>
    <w:p>
      <w:pPr>
        <w:spacing w:before="90" w:after="90" w:line="364"/>
        <w:jc w:val="both"/>
      </w:pPr>
      <w:r>
        <w:rPr>
          <w:rFonts w:ascii="Arial" w:cs="Arial" w:eastAsia="Arial" w:hAnsi="Arial"/>
          <w:b w:val="false"/>
          <w:bCs w:val="false"/>
          <w:i w:val="false"/>
          <w:iCs w:val="false"/>
          <w:caps w:val="false"/>
          <w:color w:val="2E2E2E"/>
          <w:sz w:val="22"/>
          <w:szCs w:val="22"/>
        </w:rPr>
        <w:t xml:space="preserve">La identidad visual de APUCMX se construye sobre el principio Industrial Organic: una estética que se siente tan natural para el profesionista técnico como una hoja de especificaciones bien elaborada, y tan eficiente como las herramientas de software que ya forman parte de su flujo de trabajo diario.</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#6E6E6E  Gris Concreto</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#F05A28  Naranja Seguridad</w:t>
            </w:r>
          </w:p>
        </w:tc>
        <w:tc>
          <w:tcPr>
            <w:tcW w:type="dxa" w:w="3120"/>
            <w:tcBorders>
              <w:top w:val="single" w:color="6E6E6E" w:sz="1"/>
              <w:left w:val="single" w:color="6E6E6E" w:sz="1"/>
              <w:bottom w:val="single" w:color="6E6E6E" w:sz="1"/>
              <w:right w:val="single" w:color="6E6E6E" w:sz="1"/>
            </w:tcBorders>
            <w:shd w:fill="1C1C1C" w:val="clear"/>
            <w:tcMar>
              <w:top w:type="dxa" w:w="120"/>
              <w:left w:type="dxa" w:w="160"/>
              <w:bottom w:type="dxa" w:w="60"/>
              <w:right w:type="dxa" w:w="160"/>
            </w:tcMar>
          </w:tcPr>
          <w:p>
            <w:pPr>
              <w:jc w:val="center"/>
            </w:pPr>
            <w:r>
              <w:rPr>
                <w:rFonts w:ascii="Arial" w:cs="Arial" w:eastAsia="Arial" w:hAnsi="Arial"/>
                <w:b/>
                <w:bCs/>
                <w:i w:val="false"/>
                <w:iCs w:val="false"/>
                <w:caps w:val="false"/>
                <w:color w:val="F05A28"/>
                <w:sz w:val="20"/>
                <w:szCs w:val="20"/>
              </w:rPr>
              <w:t xml:space="preserve">10px = 1rem</w:t>
            </w:r>
          </w:p>
        </w:tc>
      </w:tr>
      <w:tr>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Color base de la interfaz. Evoca la solidez técnica y la neutralidad del material de construcción más universal. Elimina el ruido visual y centra la atención en los datos, que es donde debe estar.</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El color de la acción y la alerta. Ancla los CTAs, los estados de validación, los indicadores de variación de precio y los flujos activos. Visualmente inequívoco en contextos de alta densidad informativa.</w:t>
            </w:r>
          </w:p>
        </w:tc>
        <w:tc>
          <w:tcPr>
            <w:tcW w:type="dxa" w:w="3120"/>
            <w:tcBorders>
              <w:top w:val="single" w:color="6E6E6E" w:sz="1"/>
              <w:left w:val="single" w:color="6E6E6E" w:sz="1"/>
              <w:bottom w:val="single" w:color="6E6E6E" w:sz="1"/>
              <w:right w:val="single" w:color="6E6E6E" w:sz="1"/>
            </w:tcBorders>
            <w:shd w:fill="F5F0E8" w:val="clear"/>
            <w:tcMar>
              <w:top w:type="dxa" w:w="120"/>
              <w:left w:type="dxa" w:w="160"/>
              <w:bottom w:type="dxa" w:w="120"/>
              <w:right w:type="dxa" w:w="160"/>
            </w:tcMar>
          </w:tcPr>
          <w:p>
            <w:pPr>
              <w:jc w:val="both"/>
            </w:pPr>
            <w:r>
              <w:rPr>
                <w:rFonts w:ascii="Arial" w:cs="Arial" w:eastAsia="Arial" w:hAnsi="Arial"/>
                <w:b w:val="false"/>
                <w:bCs w:val="false"/>
                <w:i w:val="false"/>
                <w:iCs w:val="false"/>
                <w:caps w:val="false"/>
                <w:color w:val="2E2E2E"/>
                <w:sz w:val="20"/>
                <w:szCs w:val="20"/>
              </w:rPr>
              <w:t xml:space="preserve">Arquitectura tipográfica de alta fidelidad técnica. Escala modular que garantiza legibilidad en pantallas densas —tablets de obra, monitores de diseño— con consistencia pixel-perfecta entre componentes.</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El rechazo de la estética genérica del software empresarial es una decisión deliberada. APUCMX debe verse y sentirse como una herramienta construida por ingenieros para ingenieros: densa en información, sin decoración innecesaria, con jerarquías visuales que guían el flujo de trabajo sin fricción. Un profesionista que abre APUCMX debe reconocer inmediatamente que no está usando una plataforma genérica adaptada para construcción: está usando una herramienta que nació de la construcción.</w:t>
      </w:r>
    </w:p>
    <w:p>
      <w:pPr>
        <w:spacing w:before="380" w:after="100"/>
      </w:pPr>
      <w:r>
        <w:rPr>
          <w:rFonts w:ascii="Arial" w:cs="Arial" w:eastAsia="Arial" w:hAnsi="Arial"/>
          <w:b/>
          <w:bCs/>
          <w:i w:val="false"/>
          <w:iCs w:val="false"/>
          <w:caps w:val="false"/>
          <w:color w:val="1C1C1C"/>
          <w:sz w:val="26"/>
          <w:szCs w:val="26"/>
        </w:rPr>
        <w:t xml:space="preserve">4.2 Workflow Agential: Antigravity + Claude Code MCP</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se construye bajo un modelo de desarrollo agential que combina Antigravity como framework de orquestación de agentes de software y Claude Code MCP (Model Context Protocol) como motor de razonamiento técnico sobre la base de código. Este workflow no es solo una elección tecnológica: es una declaración de principios sobre cómo debe desarrollarse software técnicamente exigente.</w:t>
      </w:r>
    </w:p>
    <w:p>
      <w:pPr>
        <w:spacing w:before="90" w:after="90" w:line="364"/>
        <w:jc w:val="both"/>
      </w:pPr>
      <w:r>
        <w:rPr>
          <w:rFonts w:ascii="Arial" w:cs="Arial" w:eastAsia="Arial" w:hAnsi="Arial"/>
          <w:b w:val="false"/>
          <w:bCs w:val="false"/>
          <w:i w:val="false"/>
          <w:iCs w:val="false"/>
          <w:caps w:val="false"/>
          <w:color w:val="2E2E2E"/>
          <w:sz w:val="22"/>
          <w:szCs w:val="22"/>
        </w:rPr>
        <w:t xml:space="preserve">En lugar de ciclos de desarrollo largos con revisión manual de código, el equipo opera con agentes especializados que iteran sobre funcionalidades específicas —validación de matrices, lógica de filtros regionales, integraciones blockchain, motor de créditos $APUC— mientras el equipo humano mantiene el control de la arquitectura, los criterios de calidad y la coherencia de las reglas de negocio.</w:t>
      </w:r>
    </w:p>
    <w:p>
      <w:pPr>
        <w:spacing w:before="0" w:after="0"/>
      </w:pPr>
      <w:r>
        <w:rPr>
          <w:rFonts w:ascii="Arial" w:cs="Arial" w:eastAsia="Arial" w:hAnsi="Arial"/>
          <w:b w:val="false"/>
          <w:bCs w:val="false"/>
          <w:i w:val="false"/>
          <w:iCs w:val="false"/>
          <w:caps w:val="false"/>
          <w:color w:val="2E2E2E"/>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F05A28" w:sz="1"/>
              <w:left w:val="single" w:color="F05A28" w:sz="1"/>
              <w:bottom w:val="single" w:color="F05A28" w:sz="1"/>
              <w:right w:val="single" w:color="F05A28" w:sz="1"/>
            </w:tcBorders>
            <w:shd w:fill="6E6E6E" w:val="clear"/>
            <w:tcMar>
              <w:top w:type="dxa" w:w="120"/>
              <w:left w:type="dxa" w:w="160"/>
              <w:bottom w:type="dxa" w:w="120"/>
              <w:right w:type="dxa" w:w="160"/>
            </w:tcMar>
          </w:tcPr>
          <w:p>
            <w:pPr>
              <w:jc w:val="center"/>
            </w:pPr>
            <w:r>
              <w:rPr>
                <w:rFonts w:ascii="Arial" w:cs="Arial" w:eastAsia="Arial" w:hAnsi="Arial"/>
                <w:b/>
                <w:bCs/>
                <w:i w:val="false"/>
                <w:iCs w:val="false"/>
                <w:caps w:val="false"/>
                <w:color w:val="FFFFFF"/>
                <w:sz w:val="19"/>
                <w:szCs w:val="19"/>
              </w:rPr>
              <w:t xml:space="preserve">VENTAJA DE DESARROLLO</w:t>
            </w:r>
          </w:p>
        </w:tc>
        <w:tc>
          <w:tcPr>
            <w:tcW w:type="dxa" w:w="7460"/>
            <w:tcBorders>
              <w:top w:val="single" w:color="F05A28" w:sz="1"/>
              <w:left w:val="single" w:color="F05A28" w:sz="1"/>
              <w:bottom w:val="single" w:color="F05A28" w:sz="1"/>
              <w:right w:val="single" w:color="F05A28" w:sz="1"/>
            </w:tcBorders>
            <w:shd w:fill="F5F0E8" w:val="clear"/>
            <w:tcMar>
              <w:top w:type="dxa" w:w="120"/>
              <w:left w:type="dxa" w:w="200"/>
              <w:bottom w:type="dxa" w:w="120"/>
              <w:right w:type="dxa" w:w="200"/>
            </w:tcMar>
          </w:tcPr>
          <w:p>
            <w:pPr>
              <w:jc w:val="both"/>
            </w:pPr>
            <w:r>
              <w:rPr>
                <w:rFonts w:ascii="Arial" w:cs="Arial" w:eastAsia="Arial" w:hAnsi="Arial"/>
                <w:b w:val="false"/>
                <w:bCs w:val="false"/>
                <w:i w:val="false"/>
                <w:iCs w:val="false"/>
                <w:caps w:val="false"/>
                <w:color w:val="1C1C1C"/>
                <w:sz w:val="21"/>
                <w:szCs w:val="21"/>
              </w:rPr>
              <w:t xml:space="preserve">El workflow agential permite iteraciones técnicas de alta precisión en fracciones del tiempo que requeriría un proceso de desarrollo tradicional. Las reglas del protocolo de auditoría técnica están codificadas como contexto permanente en el sistema, garantizando coherencia entre cada ciclo de desarrollo y cada versión de la plataforma.</w:t>
            </w:r>
          </w:p>
        </w:tc>
      </w:tr>
    </w:tbl>
    <w:p>
      <w:pPr>
        <w:spacing w:before="0" w:after="0"/>
      </w:pPr>
      <w:r>
        <w:rPr>
          <w:rFonts w:ascii="Arial" w:cs="Arial" w:eastAsia="Arial" w:hAnsi="Arial"/>
          <w:b w:val="false"/>
          <w:bCs w:val="false"/>
          <w:i w:val="false"/>
          <w:iCs w:val="false"/>
          <w:caps w:val="false"/>
          <w:color w:val="2E2E2E"/>
          <w:sz w:val="10"/>
          <w:szCs w:val="10"/>
        </w:rPr>
        <w:t xml:space="preserve"/>
      </w:r>
    </w:p>
    <w:p>
      <w:pPr>
        <w:spacing w:before="90" w:after="90" w:line="364"/>
        <w:jc w:val="both"/>
      </w:pPr>
      <w:r>
        <w:rPr>
          <w:rFonts w:ascii="Arial" w:cs="Arial" w:eastAsia="Arial" w:hAnsi="Arial"/>
          <w:b w:val="false"/>
          <w:bCs w:val="false"/>
          <w:i w:val="false"/>
          <w:iCs w:val="false"/>
          <w:caps w:val="false"/>
          <w:color w:val="2E2E2E"/>
          <w:sz w:val="22"/>
          <w:szCs w:val="22"/>
        </w:rPr>
        <w:t xml:space="preserve">El resultado es una plataforma que se desarrolla con la velocidad de una startup y la precisión técnica de un sistema de ingeniería. Cada componente —desde los algoritmos de verificación de rendimientos hasta la lógica de emisión de créditos— es auditado, documentado y versionado con la misma rigurosidad que se exige a las matrices APU que valida.</w:t>
      </w:r>
    </w:p>
    <w:p>
      <w:pPr>
        <w:spacing w:before="0" w:after="0"/>
      </w:pPr>
      <w:r>
        <w:rPr>
          <w:rFonts w:ascii="Arial" w:cs="Arial" w:eastAsia="Arial" w:hAnsi="Arial"/>
          <w:b w:val="false"/>
          <w:bCs w:val="false"/>
          <w:i w:val="false"/>
          <w:iCs w:val="false"/>
          <w:caps w:val="false"/>
          <w:color w:val="2E2E2E"/>
          <w:sz w:val="10"/>
          <w:szCs w:val="10"/>
        </w:rPr>
        <w:t xml:space="preserve"/>
      </w:r>
    </w:p>
    <w:p>
      <w:pPr>
        <w:pBdr>
          <w:bottom w:val="single" w:color="F05A28" w:sz="6" w:space="6"/>
        </w:pBdr>
        <w:spacing w:before="560" w:after="140"/>
      </w:pPr>
      <w:r>
        <w:rPr>
          <w:rFonts w:ascii="Arial" w:cs="Arial" w:eastAsia="Arial" w:hAnsi="Arial"/>
          <w:b/>
          <w:bCs/>
          <w:i w:val="false"/>
          <w:iCs w:val="false"/>
          <w:caps/>
          <w:color w:val="1C1C1C"/>
          <w:spacing w:val="28"/>
          <w:sz w:val="32"/>
          <w:szCs w:val="32"/>
        </w:rPr>
        <w:t xml:space="preserve">V. Conclusión: Hacia una Industria Colaborativa</w:t>
      </w:r>
    </w:p>
    <w:p>
      <w:pPr>
        <w:spacing w:before="380" w:after="100"/>
      </w:pPr>
      <w:r>
        <w:rPr>
          <w:rFonts w:ascii="Arial" w:cs="Arial" w:eastAsia="Arial" w:hAnsi="Arial"/>
          <w:b/>
          <w:bCs/>
          <w:i w:val="false"/>
          <w:iCs w:val="false"/>
          <w:caps w:val="false"/>
          <w:color w:val="1C1C1C"/>
          <w:sz w:val="26"/>
          <w:szCs w:val="26"/>
        </w:rPr>
        <w:t xml:space="preserve">5.1 Conocimiento Técnico como Activo Económico Verificable</w:t>
      </w:r>
    </w:p>
    <w:p>
      <w:pPr>
        <w:spacing w:before="90" w:after="90" w:line="364"/>
        <w:jc w:val="both"/>
      </w:pPr>
      <w:r>
        <w:rPr>
          <w:rFonts w:ascii="Arial" w:cs="Arial" w:eastAsia="Arial" w:hAnsi="Arial"/>
          <w:b w:val="false"/>
          <w:bCs w:val="false"/>
          <w:i w:val="false"/>
          <w:iCs w:val="false"/>
          <w:caps w:val="false"/>
          <w:color w:val="2E2E2E"/>
          <w:sz w:val="22"/>
          <w:szCs w:val="22"/>
        </w:rPr>
        <w:t xml:space="preserve">La visión de largo plazo de APUCMX no es técnica: es industrial y social. Es la visión de una industria AEC donde el conocimiento técnico genuino es un activo económico verificable —donde quien sabe más gana más, de forma trazable y proporcional— y donde la asimetría de información que hoy genera ineficiencia estructural es reemplazada por datos de consenso que todos los actores comparten en igualdad de condiciones.</w:t>
      </w:r>
    </w:p>
    <w:p>
      <w:pPr>
        <w:spacing w:before="90" w:after="90" w:line="364"/>
        <w:jc w:val="both"/>
      </w:pPr>
      <w:r>
        <w:rPr>
          <w:rFonts w:ascii="Arial" w:cs="Arial" w:eastAsia="Arial" w:hAnsi="Arial"/>
          <w:b w:val="false"/>
          <w:bCs w:val="false"/>
          <w:i w:val="false"/>
          <w:iCs w:val="false"/>
          <w:caps w:val="false"/>
          <w:color w:val="2E2E2E"/>
          <w:sz w:val="22"/>
          <w:szCs w:val="22"/>
        </w:rPr>
        <w:t xml:space="preserve">En ese ecosistema, el ingeniero arquitecto que domina BIM, que programa en AutoLISP, que entiende cómo extraer inteligencia de un modelo, no tiene razones para emigrar: tiene un mercado local donde ese conocimiento genera créditos de utilidad directos, donde su reputación técnica es verificable en blockchain y portable a cualquier proceso de selección, y donde sus activos digitales tienen un mercado activo con demanda real.</w:t>
      </w:r>
    </w:p>
    <w:p>
      <w:pPr>
        <w:spacing w:before="380" w:after="100"/>
      </w:pPr>
      <w:r>
        <w:rPr>
          <w:rFonts w:ascii="Arial" w:cs="Arial" w:eastAsia="Arial" w:hAnsi="Arial"/>
          <w:b/>
          <w:bCs/>
          <w:i w:val="false"/>
          <w:iCs w:val="false"/>
          <w:caps w:val="false"/>
          <w:color w:val="1C1C1C"/>
          <w:sz w:val="26"/>
          <w:szCs w:val="26"/>
        </w:rPr>
        <w:t xml:space="preserve">5.2 La Infraestructura que la Industria Necesitaba</w:t>
      </w:r>
    </w:p>
    <w:p>
      <w:pPr>
        <w:spacing w:before="90" w:after="90" w:line="364"/>
        <w:jc w:val="both"/>
      </w:pPr>
      <w:r>
        <w:rPr>
          <w:rFonts w:ascii="Arial" w:cs="Arial" w:eastAsia="Arial" w:hAnsi="Arial"/>
          <w:b w:val="false"/>
          <w:bCs w:val="false"/>
          <w:i w:val="false"/>
          <w:iCs w:val="false"/>
          <w:caps w:val="false"/>
          <w:color w:val="2E2E2E"/>
          <w:sz w:val="22"/>
          <w:szCs w:val="22"/>
        </w:rPr>
        <w:t xml:space="preserve">El problema central de la industria AEC mexicana no ha sido falta de talento ni falta de tecnología. Ha sido la ausencia de la infraestructura que conecte ese talento y esa tecnología con el problema real del mercado: la necesidad de datos de costo verificados, regionalizados y accesibles para todos los actores, no solo para los que pueden pagar un consultor de precios.</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construye esa infraestructura. Su arquitectura —capa de confianza blockchain, filtros regionales verificados, protocolo de auditoría técnica, modelo de créditos de utilidad $APUC, marketplace de activos digitales, membresía de Creador y pagos con tokenización PCI-compliant— responde a cada dimensión del problema con soluciones de ingeniería.</w:t>
      </w:r>
    </w:p>
    <w:p>
      <w:pPr>
        <w:spacing w:before="0" w:after="0"/>
      </w:pPr>
      <w:r>
        <w:rPr>
          <w:rFonts w:ascii="Arial" w:cs="Arial" w:eastAsia="Arial" w:hAnsi="Arial"/>
          <w:b w:val="false"/>
          <w:bCs w:val="false"/>
          <w:i w:val="false"/>
          <w:iCs w:val="false"/>
          <w:caps w:val="false"/>
          <w:color w:val="2E2E2E"/>
          <w:sz w:val="10"/>
          <w:szCs w:val="10"/>
        </w:rPr>
        <w:t xml:space="preserve"/>
      </w:r>
    </w:p>
    <w:p>
      <w:pPr>
        <w:pBdr>
          <w:left w:val="thick" w:color="F05A28" w:sz="20" w:space="22"/>
          <w:right w:val="thick" w:color="F05A28" w:sz="20" w:space="22"/>
        </w:pBdr>
        <w:spacing w:before="360" w:after="360"/>
        <w:ind w:left="1080" w:right="1080"/>
        <w:jc w:val="center"/>
      </w:pPr>
      <w:r>
        <w:rPr>
          <w:rFonts w:ascii="Arial" w:cs="Arial" w:eastAsia="Arial" w:hAnsi="Arial"/>
          <w:b/>
          <w:bCs/>
          <w:i/>
          <w:iCs/>
          <w:caps w:val="false"/>
          <w:color w:val="1C1C1C"/>
          <w:sz w:val="25"/>
          <w:szCs w:val="25"/>
        </w:rPr>
        <w:t xml:space="preserve">Los próximos años definirán qué industrias tienen los datos para aprovechar la automatización y la inteligencia artificial, y cuáles llegan tarde. APUCMX existe para que la industria AEC mexicana llegue primero.</w:t>
      </w:r>
    </w:p>
    <w:p>
      <w:pPr>
        <w:spacing w:before="0" w:after="0"/>
      </w:pPr>
      <w:r>
        <w:rPr>
          <w:rFonts w:ascii="Arial" w:cs="Arial" w:eastAsia="Arial" w:hAnsi="Arial"/>
          <w:b w:val="false"/>
          <w:bCs w:val="false"/>
          <w:i w:val="false"/>
          <w:iCs w:val="false"/>
          <w:caps w:val="false"/>
          <w:color w:val="2E2E2E"/>
          <w:sz w:val="10"/>
          <w:szCs w:val="10"/>
        </w:rPr>
        <w:t xml:space="preserve"/>
      </w:r>
    </w:p>
    <w:p>
      <w:pPr>
        <w:spacing w:before="380" w:after="100"/>
      </w:pPr>
      <w:r>
        <w:rPr>
          <w:rFonts w:ascii="Arial" w:cs="Arial" w:eastAsia="Arial" w:hAnsi="Arial"/>
          <w:b/>
          <w:bCs/>
          <w:i w:val="false"/>
          <w:iCs w:val="false"/>
          <w:caps w:val="false"/>
          <w:color w:val="1C1C1C"/>
          <w:sz w:val="26"/>
          <w:szCs w:val="26"/>
        </w:rPr>
        <w:t xml:space="preserve">5.3 La Invitación</w:t>
      </w:r>
    </w:p>
    <w:p>
      <w:pPr>
        <w:spacing w:before="90" w:after="90" w:line="364"/>
        <w:jc w:val="both"/>
      </w:pPr>
      <w:r>
        <w:rPr>
          <w:rFonts w:ascii="Arial" w:cs="Arial" w:eastAsia="Arial" w:hAnsi="Arial"/>
          <w:b w:val="false"/>
          <w:bCs w:val="false"/>
          <w:i w:val="false"/>
          <w:iCs w:val="false"/>
          <w:caps w:val="false"/>
          <w:color w:val="2E2E2E"/>
          <w:sz w:val="22"/>
          <w:szCs w:val="22"/>
        </w:rPr>
        <w:t xml:space="preserve">APUCMX no es una plataforma impuesta desde arriba. Es una invitación a construir la infraestructura de confianza que la industria necesita —desde abajo, con la participación de los profesionistas que conocen la realidad del mercado porque la viven todos los días.</w:t>
      </w:r>
    </w:p>
    <w:p>
      <w:pPr>
        <w:spacing w:before="90" w:after="90" w:line="364"/>
        <w:jc w:val="both"/>
      </w:pPr>
      <w:r>
        <w:rPr>
          <w:rFonts w:ascii="Arial" w:cs="Arial" w:eastAsia="Arial" w:hAnsi="Arial"/>
          <w:b w:val="false"/>
          <w:bCs w:val="false"/>
          <w:i w:val="false"/>
          <w:iCs w:val="false"/>
          <w:caps w:val="false"/>
          <w:color w:val="2E2E2E"/>
          <w:sz w:val="22"/>
          <w:szCs w:val="22"/>
        </w:rPr>
        <w:t xml:space="preserve">Los que contribuyen datos hoy están construyendo el estándar que usará la industria mañana. Y en APUCMX, esa contribución no es un acto de altruismo: es la participación en un ecosistema donde el conocimiento técnico genuino es, por primera vez, un activo con valor económico verificable.</w:t>
      </w:r>
    </w:p>
    <w:p>
      <w:pPr>
        <w:spacing w:before="90" w:after="90" w:line="364"/>
        <w:jc w:val="both"/>
      </w:pPr>
      <w:r>
        <w:rPr>
          <w:rFonts w:ascii="Arial" w:cs="Arial" w:eastAsia="Arial" w:hAnsi="Arial"/>
          <w:b w:val="false"/>
          <w:bCs w:val="false"/>
          <w:i w:val="false"/>
          <w:iCs w:val="false"/>
          <w:caps w:val="false"/>
          <w:color w:val="2E2E2E"/>
          <w:sz w:val="22"/>
          <w:szCs w:val="22"/>
        </w:rPr>
        <w:t xml:space="preserve">La falla en nuestra industria tiene solución. Se construye dato a dato, verificación a verificación, contribuidor a contribuidor. Y comienza aquí.</w:t>
      </w:r>
    </w:p>
    <w:p>
      <w:pPr>
        <w:spacing w:before="0" w:after="0"/>
      </w:pPr>
      <w:r>
        <w:rPr>
          <w:rFonts w:ascii="Arial" w:cs="Arial" w:eastAsia="Arial" w:hAnsi="Arial"/>
          <w:b w:val="false"/>
          <w:bCs w:val="false"/>
          <w:i w:val="false"/>
          <w:iCs w:val="false"/>
          <w:caps w:val="false"/>
          <w:color w:val="2E2E2E"/>
          <w:sz w:val="20"/>
          <w:szCs w:val="20"/>
        </w:rPr>
        <w:t xml:space="preserve"/>
      </w:r>
    </w:p>
    <w:p>
      <w:pPr>
        <w:spacing w:before="240" w:after="160"/>
      </w:pPr>
      <w:r>
        <w:rPr>
          <w:rFonts w:ascii="Arial" w:cs="Arial" w:eastAsia="Arial" w:hAnsi="Arial"/>
          <w:b/>
          <w:bCs/>
          <w:i w:val="false"/>
          <w:iCs w:val="false"/>
          <w:caps w:val="false"/>
          <w:color w:val="1C1C1C"/>
          <w:sz w:val="25"/>
          <w:szCs w:val="25"/>
        </w:rPr>
        <w:t xml:space="preserve">Arquitectura Completa de APUCMX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c>
          <w:tcPr>
            <w:tcW w:type="dxa" w:w="2400"/>
            <w:tcBorders>
              <w:top w:val="single" w:color="6E6E6E" w:sz="1"/>
              <w:left w:val="single" w:color="6E6E6E" w:sz="1"/>
              <w:bottom w:val="single" w:color="6E6E6E" w:sz="1"/>
              <w:right w:val="single" w:color="6E6E6E" w:sz="1"/>
            </w:tcBorders>
            <w:shd w:fill="1C1C1C" w:val="clear"/>
            <w:tcMar>
              <w:top w:type="dxa" w:w="100"/>
              <w:left w:type="dxa" w:w="160"/>
              <w:bottom w:type="dxa" w:w="100"/>
              <w:right w:type="dxa" w:w="160"/>
            </w:tcMar>
          </w:tcPr>
          <w:p>
            <w:pPr>
              <w:jc w:val="both"/>
            </w:pPr>
            <w:r>
              <w:rPr>
                <w:rFonts w:ascii="Arial" w:cs="Arial" w:eastAsia="Arial" w:hAnsi="Arial"/>
                <w:b/>
                <w:bCs/>
                <w:i w:val="false"/>
                <w:iCs w:val="false"/>
                <w:caps w:val="false"/>
                <w:color w:val="FFFFFF"/>
                <w:sz w:val="20"/>
                <w:szCs w:val="20"/>
              </w:rPr>
              <w:t xml:space="preserve">Componente</w:t>
            </w:r>
          </w:p>
        </w:tc>
        <w:tc>
          <w:tcPr>
            <w:tcW w:type="dxa" w:w="3300"/>
            <w:tcBorders>
              <w:top w:val="single" w:color="6E6E6E" w:sz="1"/>
              <w:left w:val="single" w:color="6E6E6E" w:sz="1"/>
              <w:bottom w:val="single" w:color="6E6E6E" w:sz="1"/>
              <w:right w:val="single" w:color="6E6E6E" w:sz="1"/>
            </w:tcBorders>
            <w:shd w:fill="1C1C1C" w:val="clear"/>
            <w:tcMar>
              <w:top w:type="dxa" w:w="100"/>
              <w:left w:type="dxa" w:w="160"/>
              <w:bottom w:type="dxa" w:w="100"/>
              <w:right w:type="dxa" w:w="160"/>
            </w:tcMar>
          </w:tcPr>
          <w:p>
            <w:pPr>
              <w:jc w:val="both"/>
            </w:pPr>
            <w:r>
              <w:rPr>
                <w:rFonts w:ascii="Arial" w:cs="Arial" w:eastAsia="Arial" w:hAnsi="Arial"/>
                <w:b/>
                <w:bCs/>
                <w:i w:val="false"/>
                <w:iCs w:val="false"/>
                <w:caps w:val="false"/>
                <w:color w:val="F05A28"/>
                <w:sz w:val="20"/>
                <w:szCs w:val="20"/>
              </w:rPr>
              <w:t xml:space="preserve">Función</w:t>
            </w:r>
          </w:p>
        </w:tc>
        <w:tc>
          <w:tcPr>
            <w:tcW w:type="dxa" w:w="3660"/>
            <w:tcBorders>
              <w:top w:val="single" w:color="6E6E6E" w:sz="1"/>
              <w:left w:val="single" w:color="6E6E6E" w:sz="1"/>
              <w:bottom w:val="single" w:color="6E6E6E" w:sz="1"/>
              <w:right w:val="single" w:color="6E6E6E" w:sz="1"/>
            </w:tcBorders>
            <w:shd w:fill="1C1C1C" w:val="clear"/>
            <w:tcMar>
              <w:top w:type="dxa" w:w="100"/>
              <w:left w:type="dxa" w:w="160"/>
              <w:bottom w:type="dxa" w:w="100"/>
              <w:right w:type="dxa" w:w="160"/>
            </w:tcMar>
          </w:tcPr>
          <w:p>
            <w:pPr>
              <w:jc w:val="both"/>
            </w:pPr>
            <w:r>
              <w:rPr>
                <w:rFonts w:ascii="Arial" w:cs="Arial" w:eastAsia="Arial" w:hAnsi="Arial"/>
                <w:b/>
                <w:bCs/>
                <w:i w:val="false"/>
                <w:iCs w:val="false"/>
                <w:caps w:val="false"/>
                <w:color w:val="F05A28"/>
                <w:sz w:val="20"/>
                <w:szCs w:val="20"/>
              </w:rPr>
              <w:t xml:space="preserve">Beneficio para el Profesionista</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Blockchain (capa invisible)</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Inmutabilidad y trazabilidad de cada precio registrado</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El dato no puede ser alterado. La confianza es una propiedad del sistema, no una promesa.</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Filtro Regional</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Precios por CDMX, Norte, Bajío, Occidente, Sur</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El precio refleja tu mercado real, no una media nacional inútil.</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Protocolo de Auditoría</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Verificación técnica de matrices y activos digitales</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Solo circula lo que pasó la validación. El Sello es verificable, no declarativo.</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Inbox de Precios</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Lista escaneable + panel lateral con APU completo</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Del concepto a la descomposición total en dos clics, sin cambiar de pantalla.</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Créditos $APUC</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Data-to-Earn: utilidad por contribuciones verificadas</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El conocimiento técnico genera valor económico directo y proporcional a su calidad.</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Trade Marketplace</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Mercado de familias BIM, rutinas y templates auditados</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Los activos digitales tienen un mercado activo con precios determinados por demanda real.</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Membresía Creador</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Modo de contribución activa y monetización</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Acceso completo al ecosistema: sube, vende, construye reputación técnica verificable.</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Pagos PCI + Tokenización</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Cero almacenamiento de datos financieros sensibles</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La seguridad financiera está garantizada por arquitectura, no por contrato.</w:t>
            </w:r>
          </w:p>
        </w:tc>
      </w:tr>
      <w:tr>
        <w:tc>
          <w:tcPr>
            <w:tcW w:type="dxa" w:w="2400"/>
            <w:tcBorders>
              <w:top w:val="single" w:color="6E6E6E" w:sz="1"/>
              <w:left w:val="single" w:color="6E6E6E" w:sz="1"/>
              <w:bottom w:val="single" w:color="6E6E6E" w:sz="1"/>
              <w:right w:val="single" w:color="6E6E6E" w:sz="1"/>
            </w:tcBorders>
            <w:shd w:fill="EDEDEC" w:val="clear"/>
            <w:tcMar>
              <w:top w:type="dxa" w:w="100"/>
              <w:left w:type="dxa" w:w="160"/>
              <w:bottom w:type="dxa" w:w="100"/>
              <w:right w:type="dxa" w:w="160"/>
            </w:tcMar>
          </w:tcPr>
          <w:p>
            <w:pPr>
              <w:jc w:val="both"/>
            </w:pPr>
            <w:r>
              <w:rPr>
                <w:rFonts w:ascii="Arial" w:cs="Arial" w:eastAsia="Arial" w:hAnsi="Arial"/>
                <w:b/>
                <w:bCs/>
                <w:i w:val="false"/>
                <w:iCs w:val="false"/>
                <w:caps w:val="false"/>
                <w:color w:val="1C1C1C"/>
                <w:sz w:val="19"/>
                <w:szCs w:val="19"/>
              </w:rPr>
              <w:t xml:space="preserve">Workflow Agential</w:t>
            </w:r>
          </w:p>
        </w:tc>
        <w:tc>
          <w:tcPr>
            <w:tcW w:type="dxa" w:w="330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Antigravity + Claude Code MCP para desarrollo técnico</w:t>
            </w:r>
          </w:p>
        </w:tc>
        <w:tc>
          <w:tcPr>
            <w:tcW w:type="dxa" w:w="3660"/>
            <w:tcBorders>
              <w:top w:val="single" w:color="6E6E6E" w:sz="1"/>
              <w:left w:val="single" w:color="6E6E6E" w:sz="1"/>
              <w:bottom w:val="single" w:color="6E6E6E" w:sz="1"/>
              <w:right w:val="single" w:color="6E6E6E" w:sz="1"/>
            </w:tcBorders>
            <w:shd w:fill="FFFFFF" w:val="clear"/>
            <w:tcMar>
              <w:top w:type="dxa" w:w="100"/>
              <w:left w:type="dxa" w:w="160"/>
              <w:bottom w:type="dxa" w:w="100"/>
              <w:right w:type="dxa" w:w="160"/>
            </w:tcMar>
          </w:tcPr>
          <w:p>
            <w:pPr>
              <w:jc w:val="both"/>
            </w:pPr>
            <w:r>
              <w:rPr>
                <w:rFonts w:ascii="Arial" w:cs="Arial" w:eastAsia="Arial" w:hAnsi="Arial"/>
                <w:b w:val="false"/>
                <w:bCs w:val="false"/>
                <w:i w:val="false"/>
                <w:iCs w:val="false"/>
                <w:caps w:val="false"/>
                <w:color w:val="1C1C1C"/>
                <w:sz w:val="19"/>
                <w:szCs w:val="19"/>
              </w:rPr>
              <w:t xml:space="preserve">Alta velocidad de iteración con precisión de ingeniería en cada componente.</w:t>
            </w:r>
          </w:p>
        </w:tc>
      </w:tr>
    </w:tbl>
    <w:p>
      <w:pPr>
        <w:spacing w:before="0" w:after="0"/>
      </w:pPr>
      <w:r>
        <w:rPr>
          <w:rFonts w:ascii="Arial" w:cs="Arial" w:eastAsia="Arial" w:hAnsi="Arial"/>
          <w:b w:val="false"/>
          <w:bCs w:val="false"/>
          <w:i w:val="false"/>
          <w:iCs w:val="false"/>
          <w:caps w:val="false"/>
          <w:color w:val="2E2E2E"/>
          <w:sz w:val="20"/>
          <w:szCs w:val="20"/>
        </w:rPr>
        <w:t xml:space="preserve"/>
      </w:r>
    </w:p>
    <w:p>
      <w:pPr>
        <w:pBdr>
          <w:top w:val="single" w:color="F05A28" w:sz="8" w:space="12"/>
        </w:pBdr>
        <w:spacing w:before="480" w:after="60"/>
        <w:jc w:val="center"/>
      </w:pPr>
      <w:r>
        <w:rPr>
          <w:rFonts w:ascii="Arial" w:cs="Arial" w:eastAsia="Arial" w:hAnsi="Arial"/>
          <w:b/>
          <w:bCs/>
          <w:i w:val="false"/>
          <w:iCs w:val="false"/>
          <w:caps w:val="false"/>
          <w:color w:val="F05A28"/>
          <w:sz w:val="22"/>
          <w:szCs w:val="22"/>
        </w:rPr>
        <w:t xml:space="preserve">APUCMX  ·  apucmx.mx</w:t>
      </w:r>
    </w:p>
    <w:p>
      <w:pPr>
        <w:spacing w:before="0" w:after="60"/>
        <w:jc w:val="center"/>
      </w:pPr>
      <w:r>
        <w:rPr>
          <w:rFonts w:ascii="Arial" w:cs="Arial" w:eastAsia="Arial" w:hAnsi="Arial"/>
          <w:b w:val="false"/>
          <w:bCs w:val="false"/>
          <w:i/>
          <w:iCs/>
          <w:caps w:val="false"/>
          <w:color w:val="555555"/>
          <w:sz w:val="19"/>
          <w:szCs w:val="19"/>
        </w:rPr>
        <w:t xml:space="preserve">La Infraestructura de Confianza para la Industria AEC en la Era de la Volatilidad</w:t>
      </w:r>
    </w:p>
    <w:p>
      <w:pPr>
        <w:spacing w:before="0" w:after="0"/>
        <w:jc w:val="center"/>
      </w:pPr>
      <w:r>
        <w:rPr>
          <w:rFonts w:ascii="Arial" w:cs="Arial" w:eastAsia="Arial" w:hAnsi="Arial"/>
          <w:b w:val="false"/>
          <w:bCs w:val="false"/>
          <w:i w:val="false"/>
          <w:iCs w:val="false"/>
          <w:caps w:val="false"/>
          <w:color w:val="6E6E6E"/>
          <w:sz w:val="18"/>
          <w:szCs w:val="18"/>
        </w:rPr>
        <w:t xml:space="preserve">Guillermo Jhoel Hernández Gómez  ·  Enero 2025  ·  Ciudad de México</w:t>
      </w:r>
    </w:p>
    <w:sectPr>
      <w:headerReference w:type="default" r:id="rId6"/>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5A28" w:sz="4" w:space="5"/>
      </w:pBdr>
      <w:tabs>
        <w:tab w:val="right" w:pos="9360"/>
      </w:tabs>
      <w:spacing w:before="60"/>
    </w:pPr>
    <w:r>
      <w:rPr>
        <w:rFonts w:ascii="Arial" w:cs="Arial" w:eastAsia="Arial" w:hAnsi="Arial"/>
        <w:b w:val="false"/>
        <w:bCs w:val="false"/>
        <w:i w:val="false"/>
        <w:iCs w:val="false"/>
        <w:caps w:val="false"/>
        <w:color w:val="555555"/>
        <w:sz w:val="17"/>
        <w:szCs w:val="17"/>
      </w:rPr>
      <w:t xml:space="preserve">Guillermo Jhoel Hernández Gómez  ·  2025  ·  Ciudad de México</w:t>
    </w:r>
    <w:r>
      <w:rPr>
        <w:rFonts w:ascii="Arial" w:cs="Arial" w:eastAsia="Arial" w:hAnsi="Arial"/>
        <w:b w:val="false"/>
        <w:bCs w:val="false"/>
        <w:i w:val="false"/>
        <w:iCs w:val="false"/>
        <w:caps w:val="false"/>
        <w:color w:val="2E2E2E"/>
        <w:sz w:val="17"/>
        <w:szCs w:val="17"/>
      </w:rPr>
      <w:t xml:space="preserve">	</w:t>
    </w:r>
    <w:r>
      <w:rPr>
        <w:rFonts w:ascii="Arial" w:cs="Arial" w:eastAsia="Arial" w:hAnsi="Arial"/>
        <w:b/>
        <w:bCs/>
        <w:i w:val="false"/>
        <w:iCs w:val="false"/>
        <w:caps w:val="false"/>
        <w:color w:val="F05A28"/>
        <w:sz w:val="17"/>
        <w:szCs w:val="17"/>
      </w:rPr>
      <w:t xml:space="preserve">apucmx.mx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5A28" w:sz="4" w:space="5"/>
      </w:pBdr>
      <w:spacing w:after="60"/>
    </w:pPr>
    <w:r>
      <w:rPr>
        <w:rFonts w:ascii="Arial" w:cs="Arial" w:eastAsia="Arial" w:hAnsi="Arial"/>
        <w:b/>
        <w:bCs/>
        <w:i w:val="false"/>
        <w:iCs w:val="false"/>
        <w:caps w:val="false"/>
        <w:color w:val="F05A28"/>
        <w:sz w:val="17"/>
        <w:szCs w:val="17"/>
      </w:rPr>
      <w:t xml:space="preserve">APUCMX</w:t>
    </w:r>
    <w:r>
      <w:rPr>
        <w:rFonts w:ascii="Arial" w:cs="Arial" w:eastAsia="Arial" w:hAnsi="Arial"/>
        <w:b w:val="false"/>
        <w:bCs w:val="false"/>
        <w:i/>
        <w:iCs/>
        <w:caps w:val="false"/>
        <w:color w:val="555555"/>
        <w:sz w:val="17"/>
        <w:szCs w:val="17"/>
      </w:rPr>
      <w:t xml:space="preserve">  ·  La Infraestructura de Confianza para la Industria AEC en la Era de la Volatilidad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40"/>
      <w:outlineLvl w:val="0"/>
    </w:pPr>
    <w:rPr>
      <w:rFonts w:ascii="Arial" w:cs="Arial" w:eastAsia="Arial" w:hAnsi="Arial"/>
      <w:b/>
      <w:bCs/>
      <w:caps/>
      <w:color w:val="1C1C1C"/>
      <w:sz w:val="32"/>
      <w:szCs w:val="32"/>
    </w:rPr>
  </w:style>
  <w:style w:type="paragraph" w:styleId="Heading2">
    <w:name w:val="Heading 2"/>
    <w:basedOn w:val="Normal"/>
    <w:next w:val="Normal"/>
    <w:qFormat/>
    <w:pPr>
      <w:spacing w:before="380" w:after="100"/>
      <w:outlineLvl w:val="1"/>
    </w:pPr>
    <w:rPr>
      <w:rFonts w:ascii="Arial" w:cs="Arial" w:eastAsia="Arial" w:hAnsi="Arial"/>
      <w:b/>
      <w:bCs/>
      <w:color w:val="1C1C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2026-03-02T18:42:05.210Z</dcterms:created>
  <dcterms:modified xsi:type="dcterms:W3CDTF">2026-03-02T18:42:05.211Z</dcterms:modified>
</cp:coreProperties>
</file>

<file path=docProps/custom.xml><?xml version="1.0" encoding="utf-8"?>
<Properties xmlns="http://schemas.openxmlformats.org/officeDocument/2006/custom-properties" xmlns:vt="http://schemas.openxmlformats.org/officeDocument/2006/docPropsVTypes"/>
</file>