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Non-Commercial License Agreement </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Copyright (c) 2024, Guillermo Llopis </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All rights reserved. </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Redistribution and use in source and binary forms, with or without modification, are permitted for Non-Commercial Use only under the following conditions: </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1. Definitions: - "Commercial Use" means any use of the Software for direct or indirect financial gain or commercial advantage, including but not limited to training, consulting, or selling products derived from the Software. - "Non-Commercial Use" means any use of the Software for research, educational, or personal projects which do not involve any direct or indirect financial gain or commercial advantage. </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2. License Grant: - Subject to the terms of this License, you are granted a non-exclusive, non-transferable license to use, modify, and distribute the Software in source or binary form for Non-Commercial Use.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3. Conditions: - Redistribution of source code or binary form of the software must retain this License and the above copyright notice. - You may not use the Software for any Commercial Use without prior written permission from the Licensor. </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4. Commercial Licensing: - If you wish to use the Software for Commercial Use, please contact g.llopis22@gmail.com to negotiate a commercial license agreement. </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5. Disclaimer of Warranty: - The Software is provided "as is", without warranty of any kind, express or implied, including but not limited to the warranties of merchantability, fitness for a particular purpose and noninfringement. - In no event shall the authors or copyright holders be liable for any claim, damages or other liability, whether in an action of contract, tort or otherwise, arising from, out of or in connection with the Software or the use or other dealings in the Software. </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6. General: - This License is governed by the laws of the European Union, without regard to conflict of law principles.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