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891B2"/>
          <w:sz w:val="24"/>
        </w:rPr>
        <w:t>COLEGIO MEXICANO · PORTAL DE PAGOS</w:t>
      </w:r>
    </w:p>
    <w:p>
      <w:pPr>
        <w:spacing w:after="240"/>
        <w:jc w:val="center"/>
      </w:pPr>
      <w:r>
        <w:rPr>
          <w:rFonts w:ascii="Calibri" w:hAnsi="Calibri"/>
          <w:b/>
          <w:color w:val="0F172A"/>
          <w:sz w:val="48"/>
        </w:rPr>
        <w:t>MANUAL INTEGRAL DE USUARIO Y OPERACIÓN DE LA PLATAFORMA</w:t>
      </w:r>
    </w:p>
    <w:p>
      <w:pPr>
        <w:spacing w:after="600"/>
        <w:jc w:val="center"/>
      </w:pPr>
      <w:r>
        <w:rPr>
          <w:rFonts w:ascii="Calibri" w:hAnsi="Calibri"/>
          <w:color w:val="64748B"/>
          <w:sz w:val="28"/>
        </w:rPr>
        <w:t>Guía completa de funciones para Administradores, Supervisores y Alumnos</w:t>
      </w:r>
    </w:p>
    <w:tbl>
      <w:tblPr>
        <w:tblW w:type="auto" w:w="0"/>
        <w:jc w:val="center"/>
        <w:tblLook w:firstColumn="1" w:firstRow="1" w:lastColumn="0" w:lastRow="0" w:noHBand="0" w:noVBand="1" w:val="04A0"/>
      </w:tblPr>
      <w:tblGrid>
        <w:gridCol w:w="9648"/>
      </w:tblGrid>
      <w:tr>
        <w:tc>
          <w:tcPr>
            <w:tcW w:type="dxa" w:w="7920"/>
            <w:shd w:fill="0F172A"/>
            <w:tcMar>
              <w:top w:w="200" w:type="dxa"/>
              <w:bottom w:w="200" w:type="dxa"/>
              <w:left w:w="240" w:type="dxa"/>
              <w:right w:w="240" w:type="dxa"/>
            </w:tcMar>
          </w:tcPr>
          <w:p>
            <w:pPr>
              <w:jc w:val="center"/>
            </w:pPr>
            <w:r>
              <w:rPr>
                <w:b/>
                <w:color w:val="38BDF8"/>
                <w:sz w:val="24"/>
              </w:rPr>
              <w:t>SISTEMA DE GESTIÓN Y VERIFICACIÓN DE PAGOS CM</w:t>
              <w:br/>
            </w:r>
            <w:r>
              <w:rPr>
                <w:color w:val="E2E8F0"/>
                <w:sz w:val="21"/>
              </w:rPr>
              <w:t>Versión Oficial 2.5 · Ciclo Escolar Activo</w:t>
              <w:br/>
              <w:t>Roles: Administrador | Supervisor | Alumno / Tutor</w:t>
              <w:br/>
              <w:t>Octubre 2026</w:t>
            </w:r>
          </w:p>
        </w:tc>
      </w:tr>
    </w:tbl>
    <w:p>
      <w:pPr>
        <w:spacing w:before="1600"/>
      </w:pPr>
    </w:p>
    <w:p>
      <w:pPr>
        <w:jc w:val="center"/>
      </w:pPr>
      <w:r>
        <w:rPr>
          <w:color w:val="94A3B8"/>
          <w:sz w:val="19"/>
        </w:rPr>
        <w:t>Colegio Mexicano — Departamento de Tecnologías de la Información y Cobranza</w:t>
      </w:r>
    </w:p>
    <w:p>
      <w:r>
        <w:br w:type="page"/>
      </w:r>
    </w:p>
    <w:p>
      <w:pPr>
        <w:pStyle w:val="Heading1"/>
        <w:spacing w:after="280"/>
      </w:pPr>
      <w:r>
        <w:rPr>
          <w:color w:val="0F172A"/>
        </w:rPr>
        <w:t>ÍNDICE GENERAL</w:t>
      </w:r>
    </w:p>
    <w:p>
      <w:pPr>
        <w:spacing w:after="80"/>
      </w:pPr>
      <w:r>
        <w:rPr>
          <w:b/>
          <w:color w:val="0891B2"/>
          <w:sz w:val="21"/>
        </w:rPr>
        <w:t>1. Introducción y Arquitectura de la Plataforma</w:t>
        <w:br/>
      </w:r>
      <w:r>
        <w:rPr>
          <w:color w:val="475569"/>
          <w:sz w:val="19"/>
        </w:rPr>
        <w:t xml:space="preserve">   Objetivos del sistema, URLs de acceso y matriz de permisos por rol.</w:t>
      </w:r>
    </w:p>
    <w:p>
      <w:pPr>
        <w:spacing w:after="80"/>
      </w:pPr>
      <w:r>
        <w:rPr>
          <w:b/>
          <w:color w:val="0891B2"/>
          <w:sz w:val="21"/>
        </w:rPr>
        <w:t>2. Módulo de Autenticación y Cierre de Sesión</w:t>
        <w:br/>
      </w:r>
      <w:r>
        <w:rPr>
          <w:color w:val="475569"/>
          <w:sz w:val="19"/>
        </w:rPr>
        <w:t xml:space="preserve">   Inicio de sesión seguro, validación de credenciales y redirección por rol.</w:t>
      </w:r>
    </w:p>
    <w:p>
      <w:pPr>
        <w:spacing w:after="80"/>
      </w:pPr>
      <w:r>
        <w:rPr>
          <w:b/>
          <w:color w:val="0891B2"/>
          <w:sz w:val="21"/>
        </w:rPr>
        <w:t>3. Manual del Panel de Administrador (Admin)</w:t>
        <w:br/>
      </w:r>
      <w:r>
        <w:rPr>
          <w:color w:val="475569"/>
          <w:sz w:val="19"/>
        </w:rPr>
        <w:t xml:space="preserve">   Métricas en tiempo real, ciclo escolar, migración anual y nuevo ingreso.</w:t>
      </w:r>
    </w:p>
    <w:p>
      <w:pPr>
        <w:spacing w:after="80"/>
      </w:pPr>
      <w:r>
        <w:rPr>
          <w:b/>
          <w:color w:val="0891B2"/>
          <w:sz w:val="21"/>
        </w:rPr>
        <w:t>4. Gestión de Pestañas de Grupos por Niveles</w:t>
        <w:br/>
      </w:r>
      <w:r>
        <w:rPr>
          <w:color w:val="475569"/>
          <w:sz w:val="19"/>
        </w:rPr>
        <w:t xml:space="preserve">   Organización jerárquica de grupos, alta de pestañas y edición con lápiz.</w:t>
      </w:r>
    </w:p>
    <w:p>
      <w:pPr>
        <w:spacing w:after="80"/>
      </w:pPr>
      <w:r>
        <w:rPr>
          <w:b/>
          <w:color w:val="0891B2"/>
          <w:sz w:val="21"/>
        </w:rPr>
        <w:t>5. Matriz de Pagos por Grupo (Verificación)</w:t>
        <w:br/>
      </w:r>
      <w:r>
        <w:rPr>
          <w:color w:val="475569"/>
          <w:sz w:val="19"/>
        </w:rPr>
        <w:t xml:space="preserve">   Navegación con flechas fijas, estados de pago, fechas, notas y aclaraciones.</w:t>
      </w:r>
    </w:p>
    <w:p>
      <w:pPr>
        <w:spacing w:after="80"/>
      </w:pPr>
      <w:r>
        <w:rPr>
          <w:b/>
          <w:color w:val="0891B2"/>
          <w:sz w:val="21"/>
        </w:rPr>
        <w:t>6. Catálogo de Alumnos y Gestión de Usuarios</w:t>
        <w:br/>
      </w:r>
      <w:r>
        <w:rPr>
          <w:color w:val="475569"/>
          <w:sz w:val="19"/>
        </w:rPr>
        <w:t xml:space="preserve">   Alta de alumnos y administrativos/supervisores, bajas y cambio de contraseñas.</w:t>
      </w:r>
    </w:p>
    <w:p>
      <w:pPr>
        <w:spacing w:after="80"/>
      </w:pPr>
      <w:r>
        <w:rPr>
          <w:b/>
          <w:color w:val="0891B2"/>
          <w:sz w:val="21"/>
        </w:rPr>
        <w:t>7. Reporte de Alumnos que Pagaron por Fecha</w:t>
        <w:br/>
      </w:r>
      <w:r>
        <w:rPr>
          <w:color w:val="475569"/>
          <w:sz w:val="19"/>
        </w:rPr>
        <w:t xml:space="preserve">   Filtro por rango de fechas y exportación contable a Excel (.xlsx).</w:t>
      </w:r>
    </w:p>
    <w:p>
      <w:pPr>
        <w:spacing w:after="80"/>
      </w:pPr>
      <w:r>
        <w:rPr>
          <w:b/>
          <w:color w:val="0891B2"/>
          <w:sz w:val="21"/>
        </w:rPr>
        <w:t>8. Importación Masiva vía Plantilla Excel</w:t>
        <w:br/>
      </w:r>
      <w:r>
        <w:rPr>
          <w:color w:val="475569"/>
          <w:sz w:val="19"/>
        </w:rPr>
        <w:t xml:space="preserve">   Carga de plantilla oficial de alumnos y conceptos de pago.</w:t>
      </w:r>
    </w:p>
    <w:p>
      <w:pPr>
        <w:spacing w:after="80"/>
      </w:pPr>
      <w:r>
        <w:rPr>
          <w:b/>
          <w:color w:val="0891B2"/>
          <w:sz w:val="21"/>
        </w:rPr>
        <w:t>9. Manual del Panel de Supervisor</w:t>
        <w:br/>
      </w:r>
      <w:r>
        <w:rPr>
          <w:color w:val="475569"/>
          <w:sz w:val="19"/>
        </w:rPr>
        <w:t xml:space="preserve">   Módulo de auditoría, barra interactiva de estatus y matriz en modo lectura.</w:t>
      </w:r>
    </w:p>
    <w:p>
      <w:pPr>
        <w:spacing w:after="80"/>
      </w:pPr>
      <w:r>
        <w:rPr>
          <w:b/>
          <w:color w:val="0891B2"/>
          <w:sz w:val="21"/>
        </w:rPr>
        <w:t>10. Manual del Panel del Alumno / Tutor</w:t>
        <w:br/>
      </w:r>
      <w:r>
        <w:rPr>
          <w:color w:val="475569"/>
          <w:sz w:val="19"/>
        </w:rPr>
        <w:t xml:space="preserve">   Consulta de conceptos por nivel, reporte de pago, aclaraciones y manual Lypro.</w:t>
      </w:r>
    </w:p>
    <w:p>
      <w:pPr>
        <w:spacing w:after="80"/>
      </w:pPr>
      <w:r>
        <w:rPr>
          <w:b/>
          <w:color w:val="0891B2"/>
          <w:sz w:val="21"/>
        </w:rPr>
        <w:t>11. Ciclo de Vida del Pago y Estados</w:t>
        <w:br/>
      </w:r>
      <w:r>
        <w:rPr>
          <w:color w:val="475569"/>
          <w:sz w:val="19"/>
        </w:rPr>
        <w:t xml:space="preserve">   Flujo operativo de estados: Pendiente, En Revisión, Confirmado y Aclaración.</w:t>
      </w:r>
    </w:p>
    <w:p>
      <w:pPr>
        <w:spacing w:after="80"/>
      </w:pPr>
      <w:r>
        <w:rPr>
          <w:b/>
          <w:color w:val="0891B2"/>
          <w:sz w:val="21"/>
        </w:rPr>
        <w:t>12. Preguntas Frecuentes y Soporte Técnico</w:t>
        <w:br/>
      </w:r>
      <w:r>
        <w:rPr>
          <w:color w:val="475569"/>
          <w:sz w:val="19"/>
        </w:rPr>
        <w:t xml:space="preserve">   Solución de incidencias comunes, restablecimiento de accesos y buenas prácticas.</w:t>
      </w:r>
    </w:p>
    <w:p>
      <w:r>
        <w:br w:type="page"/>
      </w:r>
    </w:p>
    <w:p>
      <w:pPr>
        <w:pStyle w:val="Heading1"/>
        <w:spacing w:before="360" w:after="160"/>
      </w:pPr>
      <w:r>
        <w:rPr>
          <w:rFonts w:ascii="Calibri" w:hAnsi="Calibri"/>
          <w:color w:val="0F172A"/>
          <w:sz w:val="32"/>
        </w:rPr>
        <w:t>1. INTRODUCCIÓN Y ARQUITECTURA DE LA PLATAFORMA</w:t>
      </w:r>
    </w:p>
    <w:p>
      <w:r>
        <w:t>La Plataforma Pagos CM es una solución web de alto rendimiento desarrollada a la medida para el Colegio Mexicano. Su objetivo primordial es centralizar, auditar y agilizar la verificación de los pagos de plataformas digitales, colegiaturas, licencias educativas y conceptos anuales de todos los estudiantes, desde nivel Pre-Maternal hasta Preparatoria y Egresados.</w:t>
      </w:r>
    </w:p>
    <w:p>
      <w:r>
        <w:t>El sistema opera bajo un entorno en la nube moderno, seguro y optimizado para dispositivos de escritorio, laptops y tabletas, con una interfaz oscura de última generación, métricas analíticas e interacción en tiempo real.</w:t>
      </w:r>
    </w:p>
    <w:p>
      <w:pPr>
        <w:pStyle w:val="Heading2"/>
        <w:spacing w:before="360" w:after="160"/>
      </w:pPr>
      <w:r>
        <w:rPr>
          <w:rFonts w:ascii="Calibri" w:hAnsi="Calibri"/>
          <w:color w:val="0891B2"/>
          <w:sz w:val="26"/>
        </w:rPr>
        <w:t>1.1 Matriz Comparativa de Capacidades por Rol</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12"/>
        <w:gridCol w:w="2412"/>
        <w:gridCol w:w="2412"/>
        <w:gridCol w:w="2412"/>
      </w:tblGrid>
      <w:tr>
        <w:tc>
          <w:tcPr>
            <w:tcW w:type="dxa" w:w="2412"/>
            <w:shd w:fill="0F172A"/>
            <w:tcMar>
              <w:top w:w="140" w:type="dxa"/>
              <w:bottom w:w="140" w:type="dxa"/>
              <w:left w:w="140" w:type="dxa"/>
              <w:right w:w="140" w:type="dxa"/>
            </w:tcMar>
          </w:tcPr>
          <w:p>
            <w:r>
              <w:rPr>
                <w:b/>
                <w:color w:val="FFFFFF"/>
                <w:sz w:val="19"/>
              </w:rPr>
              <w:t>Módulo / Funcionalidad</w:t>
            </w:r>
          </w:p>
        </w:tc>
        <w:tc>
          <w:tcPr>
            <w:tcW w:type="dxa" w:w="2412"/>
            <w:shd w:fill="0F172A"/>
            <w:tcMar>
              <w:top w:w="140" w:type="dxa"/>
              <w:bottom w:w="140" w:type="dxa"/>
              <w:left w:w="140" w:type="dxa"/>
              <w:right w:w="140" w:type="dxa"/>
            </w:tcMar>
          </w:tcPr>
          <w:p>
            <w:r>
              <w:rPr>
                <w:b/>
                <w:color w:val="FFFFFF"/>
                <w:sz w:val="19"/>
              </w:rPr>
              <w:t>Administrador</w:t>
            </w:r>
          </w:p>
        </w:tc>
        <w:tc>
          <w:tcPr>
            <w:tcW w:type="dxa" w:w="2412"/>
            <w:shd w:fill="0F172A"/>
            <w:tcMar>
              <w:top w:w="140" w:type="dxa"/>
              <w:bottom w:w="140" w:type="dxa"/>
              <w:left w:w="140" w:type="dxa"/>
              <w:right w:w="140" w:type="dxa"/>
            </w:tcMar>
          </w:tcPr>
          <w:p>
            <w:r>
              <w:rPr>
                <w:b/>
                <w:color w:val="FFFFFF"/>
                <w:sz w:val="19"/>
              </w:rPr>
              <w:t>Supervisor</w:t>
            </w:r>
          </w:p>
        </w:tc>
        <w:tc>
          <w:tcPr>
            <w:tcW w:type="dxa" w:w="2412"/>
            <w:shd w:fill="0F172A"/>
            <w:tcMar>
              <w:top w:w="140" w:type="dxa"/>
              <w:bottom w:w="140" w:type="dxa"/>
              <w:left w:w="140" w:type="dxa"/>
              <w:right w:w="140" w:type="dxa"/>
            </w:tcMar>
          </w:tcPr>
          <w:p>
            <w:r>
              <w:rPr>
                <w:b/>
                <w:color w:val="FFFFFF"/>
                <w:sz w:val="19"/>
              </w:rPr>
              <w:t>Alumno / Tutor</w:t>
            </w:r>
          </w:p>
        </w:tc>
      </w:tr>
      <w:tr>
        <w:tc>
          <w:tcPr>
            <w:tcW w:type="dxa" w:w="2412"/>
            <w:shd w:fill="F8FAFC"/>
            <w:tcMar>
              <w:top w:w="100" w:type="dxa"/>
              <w:bottom w:w="100" w:type="dxa"/>
              <w:left w:w="120" w:type="dxa"/>
              <w:right w:w="120" w:type="dxa"/>
            </w:tcMar>
          </w:tcPr>
          <w:p>
            <w:r>
              <w:rPr>
                <w:b/>
                <w:color w:val="0F172A"/>
                <w:sz w:val="18"/>
              </w:rPr>
              <w:t>Dashboard con Métricas y KPIs</w:t>
            </w:r>
          </w:p>
        </w:tc>
        <w:tc>
          <w:tcPr>
            <w:tcW w:type="dxa" w:w="2412"/>
            <w:shd w:fill="F8FAFC"/>
            <w:tcMar>
              <w:top w:w="100" w:type="dxa"/>
              <w:bottom w:w="100" w:type="dxa"/>
              <w:left w:w="120" w:type="dxa"/>
              <w:right w:w="120" w:type="dxa"/>
            </w:tcMar>
          </w:tcPr>
          <w:p>
            <w:r>
              <w:rPr>
                <w:color w:val="059669"/>
                <w:sz w:val="18"/>
              </w:rPr>
              <w:t>Completo (6 KPIs + Barra)</w:t>
            </w:r>
          </w:p>
        </w:tc>
        <w:tc>
          <w:tcPr>
            <w:tcW w:type="dxa" w:w="2412"/>
            <w:shd w:fill="F8FAFC"/>
            <w:tcMar>
              <w:top w:w="100" w:type="dxa"/>
              <w:bottom w:w="100" w:type="dxa"/>
              <w:left w:w="120" w:type="dxa"/>
              <w:right w:w="120" w:type="dxa"/>
            </w:tcMar>
          </w:tcPr>
          <w:p>
            <w:r>
              <w:rPr>
                <w:color w:val="334155"/>
                <w:sz w:val="18"/>
              </w:rPr>
              <w:t>Solo Barra Distribución</w:t>
            </w:r>
          </w:p>
        </w:tc>
        <w:tc>
          <w:tcPr>
            <w:tcW w:type="dxa" w:w="2412"/>
            <w:shd w:fill="F8FAFC"/>
            <w:tcMar>
              <w:top w:w="100" w:type="dxa"/>
              <w:bottom w:w="100" w:type="dxa"/>
              <w:left w:w="120" w:type="dxa"/>
              <w:right w:w="120" w:type="dxa"/>
            </w:tcMar>
          </w:tcPr>
          <w:p>
            <w:r>
              <w:rPr>
                <w:color w:val="334155"/>
                <w:sz w:val="18"/>
              </w:rPr>
              <w:t>Resumen personal</w:t>
            </w:r>
          </w:p>
        </w:tc>
      </w:tr>
      <w:tr>
        <w:tc>
          <w:tcPr>
            <w:tcW w:type="dxa" w:w="2412"/>
            <w:shd w:fill="FFFFFF"/>
            <w:tcMar>
              <w:top w:w="100" w:type="dxa"/>
              <w:bottom w:w="100" w:type="dxa"/>
              <w:left w:w="120" w:type="dxa"/>
              <w:right w:w="120" w:type="dxa"/>
            </w:tcMar>
          </w:tcPr>
          <w:p>
            <w:r>
              <w:rPr>
                <w:b/>
                <w:color w:val="0F172A"/>
                <w:sz w:val="18"/>
              </w:rPr>
              <w:t>Matriz de Pagos por Grupo</w:t>
            </w:r>
          </w:p>
        </w:tc>
        <w:tc>
          <w:tcPr>
            <w:tcW w:type="dxa" w:w="2412"/>
            <w:shd w:fill="FFFFFF"/>
            <w:tcMar>
              <w:top w:w="100" w:type="dxa"/>
              <w:bottom w:w="100" w:type="dxa"/>
              <w:left w:w="120" w:type="dxa"/>
              <w:right w:w="120" w:type="dxa"/>
            </w:tcMar>
          </w:tcPr>
          <w:p>
            <w:r>
              <w:rPr>
                <w:color w:val="334155"/>
                <w:sz w:val="18"/>
              </w:rPr>
              <w:t>Total (7 conceptos + Edición)</w:t>
            </w:r>
          </w:p>
        </w:tc>
        <w:tc>
          <w:tcPr>
            <w:tcW w:type="dxa" w:w="2412"/>
            <w:shd w:fill="FFFFFF"/>
            <w:tcMar>
              <w:top w:w="100" w:type="dxa"/>
              <w:bottom w:w="100" w:type="dxa"/>
              <w:left w:w="120" w:type="dxa"/>
              <w:right w:w="120" w:type="dxa"/>
            </w:tcMar>
          </w:tcPr>
          <w:p>
            <w:r>
              <w:rPr>
                <w:color w:val="334155"/>
                <w:sz w:val="18"/>
              </w:rPr>
              <w:t>Lectura (Knotion, Tech, Lypro)</w:t>
            </w:r>
          </w:p>
        </w:tc>
        <w:tc>
          <w:tcPr>
            <w:tcW w:type="dxa" w:w="2412"/>
            <w:shd w:fill="FFFFFF"/>
            <w:tcMar>
              <w:top w:w="100" w:type="dxa"/>
              <w:bottom w:w="100" w:type="dxa"/>
              <w:left w:w="120" w:type="dxa"/>
              <w:right w:w="120" w:type="dxa"/>
            </w:tcMar>
          </w:tcPr>
          <w:p>
            <w:r>
              <w:rPr>
                <w:color w:val="94A3B8"/>
                <w:sz w:val="18"/>
              </w:rPr>
              <w:t>No disponible</w:t>
            </w:r>
          </w:p>
        </w:tc>
      </w:tr>
      <w:tr>
        <w:tc>
          <w:tcPr>
            <w:tcW w:type="dxa" w:w="2412"/>
            <w:shd w:fill="F8FAFC"/>
            <w:tcMar>
              <w:top w:w="100" w:type="dxa"/>
              <w:bottom w:w="100" w:type="dxa"/>
              <w:left w:w="120" w:type="dxa"/>
              <w:right w:w="120" w:type="dxa"/>
            </w:tcMar>
          </w:tcPr>
          <w:p>
            <w:r>
              <w:rPr>
                <w:b/>
                <w:color w:val="0F172A"/>
                <w:sz w:val="18"/>
              </w:rPr>
              <w:t>Edición de Estados y Comentarios</w:t>
            </w:r>
          </w:p>
        </w:tc>
        <w:tc>
          <w:tcPr>
            <w:tcW w:type="dxa" w:w="2412"/>
            <w:shd w:fill="F8FAFC"/>
            <w:tcMar>
              <w:top w:w="100" w:type="dxa"/>
              <w:bottom w:w="100" w:type="dxa"/>
              <w:left w:w="120" w:type="dxa"/>
              <w:right w:w="120" w:type="dxa"/>
            </w:tcMar>
          </w:tcPr>
          <w:p>
            <w:r>
              <w:rPr>
                <w:color w:val="059669"/>
                <w:sz w:val="18"/>
              </w:rPr>
              <w:t>Sí (Total)</w:t>
            </w:r>
          </w:p>
        </w:tc>
        <w:tc>
          <w:tcPr>
            <w:tcW w:type="dxa" w:w="2412"/>
            <w:shd w:fill="F8FAFC"/>
            <w:tcMar>
              <w:top w:w="100" w:type="dxa"/>
              <w:bottom w:w="100" w:type="dxa"/>
              <w:left w:w="120" w:type="dxa"/>
              <w:right w:w="120" w:type="dxa"/>
            </w:tcMar>
          </w:tcPr>
          <w:p>
            <w:r>
              <w:rPr>
                <w:color w:val="94A3B8"/>
                <w:sz w:val="18"/>
              </w:rPr>
              <w:t>No (Solo Lectura)</w:t>
            </w:r>
          </w:p>
        </w:tc>
        <w:tc>
          <w:tcPr>
            <w:tcW w:type="dxa" w:w="2412"/>
            <w:shd w:fill="F8FAFC"/>
            <w:tcMar>
              <w:top w:w="100" w:type="dxa"/>
              <w:bottom w:w="100" w:type="dxa"/>
              <w:left w:w="120" w:type="dxa"/>
              <w:right w:w="120" w:type="dxa"/>
            </w:tcMar>
          </w:tcPr>
          <w:p>
            <w:r>
              <w:rPr>
                <w:color w:val="94A3B8"/>
                <w:sz w:val="18"/>
              </w:rPr>
              <w:t>No (Solo Reportar)</w:t>
            </w:r>
          </w:p>
        </w:tc>
      </w:tr>
      <w:tr>
        <w:tc>
          <w:tcPr>
            <w:tcW w:type="dxa" w:w="2412"/>
            <w:shd w:fill="FFFFFF"/>
            <w:tcMar>
              <w:top w:w="100" w:type="dxa"/>
              <w:bottom w:w="100" w:type="dxa"/>
              <w:left w:w="120" w:type="dxa"/>
              <w:right w:w="120" w:type="dxa"/>
            </w:tcMar>
          </w:tcPr>
          <w:p>
            <w:r>
              <w:rPr>
                <w:b/>
                <w:color w:val="0F172A"/>
                <w:sz w:val="18"/>
              </w:rPr>
              <w:t>Gestión de Alumnos y Grupos</w:t>
            </w:r>
          </w:p>
        </w:tc>
        <w:tc>
          <w:tcPr>
            <w:tcW w:type="dxa" w:w="2412"/>
            <w:shd w:fill="FFFFFF"/>
            <w:tcMar>
              <w:top w:w="100" w:type="dxa"/>
              <w:bottom w:w="100" w:type="dxa"/>
              <w:left w:w="120" w:type="dxa"/>
              <w:right w:w="120" w:type="dxa"/>
            </w:tcMar>
          </w:tcPr>
          <w:p>
            <w:r>
              <w:rPr>
                <w:color w:val="059669"/>
                <w:sz w:val="18"/>
              </w:rPr>
              <w:t>Sí (Crear, Editar, Baja)</w:t>
            </w:r>
          </w:p>
        </w:tc>
        <w:tc>
          <w:tcPr>
            <w:tcW w:type="dxa" w:w="2412"/>
            <w:shd w:fill="FFFFFF"/>
            <w:tcMar>
              <w:top w:w="100" w:type="dxa"/>
              <w:bottom w:w="100" w:type="dxa"/>
              <w:left w:w="120" w:type="dxa"/>
              <w:right w:w="120" w:type="dxa"/>
            </w:tcMar>
          </w:tcPr>
          <w:p>
            <w:r>
              <w:rPr>
                <w:color w:val="94A3B8"/>
                <w:sz w:val="18"/>
              </w:rPr>
              <w:t>No disponible</w:t>
            </w:r>
          </w:p>
        </w:tc>
        <w:tc>
          <w:tcPr>
            <w:tcW w:type="dxa" w:w="2412"/>
            <w:shd w:fill="FFFFFF"/>
            <w:tcMar>
              <w:top w:w="100" w:type="dxa"/>
              <w:bottom w:w="100" w:type="dxa"/>
              <w:left w:w="120" w:type="dxa"/>
              <w:right w:w="120" w:type="dxa"/>
            </w:tcMar>
          </w:tcPr>
          <w:p>
            <w:r>
              <w:rPr>
                <w:color w:val="94A3B8"/>
                <w:sz w:val="18"/>
              </w:rPr>
              <w:t>No disponible</w:t>
            </w:r>
          </w:p>
        </w:tc>
      </w:tr>
      <w:tr>
        <w:tc>
          <w:tcPr>
            <w:tcW w:type="dxa" w:w="2412"/>
            <w:shd w:fill="F8FAFC"/>
            <w:tcMar>
              <w:top w:w="100" w:type="dxa"/>
              <w:bottom w:w="100" w:type="dxa"/>
              <w:left w:w="120" w:type="dxa"/>
              <w:right w:w="120" w:type="dxa"/>
            </w:tcMar>
          </w:tcPr>
          <w:p>
            <w:r>
              <w:rPr>
                <w:b/>
                <w:color w:val="0F172A"/>
                <w:sz w:val="18"/>
              </w:rPr>
              <w:t>Migración de Ciclo Escolar</w:t>
            </w:r>
          </w:p>
        </w:tc>
        <w:tc>
          <w:tcPr>
            <w:tcW w:type="dxa" w:w="2412"/>
            <w:shd w:fill="F8FAFC"/>
            <w:tcMar>
              <w:top w:w="100" w:type="dxa"/>
              <w:bottom w:w="100" w:type="dxa"/>
              <w:left w:w="120" w:type="dxa"/>
              <w:right w:w="120" w:type="dxa"/>
            </w:tcMar>
          </w:tcPr>
          <w:p>
            <w:r>
              <w:rPr>
                <w:color w:val="059669"/>
                <w:sz w:val="18"/>
              </w:rPr>
              <w:t>Sí (Activo en Julio)</w:t>
            </w:r>
          </w:p>
        </w:tc>
        <w:tc>
          <w:tcPr>
            <w:tcW w:type="dxa" w:w="2412"/>
            <w:shd w:fill="F8FAFC"/>
            <w:tcMar>
              <w:top w:w="100" w:type="dxa"/>
              <w:bottom w:w="100" w:type="dxa"/>
              <w:left w:w="120" w:type="dxa"/>
              <w:right w:w="120" w:type="dxa"/>
            </w:tcMar>
          </w:tcPr>
          <w:p>
            <w:r>
              <w:rPr>
                <w:color w:val="94A3B8"/>
                <w:sz w:val="18"/>
              </w:rPr>
              <w:t>No disponible</w:t>
            </w:r>
          </w:p>
        </w:tc>
        <w:tc>
          <w:tcPr>
            <w:tcW w:type="dxa" w:w="2412"/>
            <w:shd w:fill="F8FAFC"/>
            <w:tcMar>
              <w:top w:w="100" w:type="dxa"/>
              <w:bottom w:w="100" w:type="dxa"/>
              <w:left w:w="120" w:type="dxa"/>
              <w:right w:w="120" w:type="dxa"/>
            </w:tcMar>
          </w:tcPr>
          <w:p>
            <w:r>
              <w:rPr>
                <w:color w:val="94A3B8"/>
                <w:sz w:val="18"/>
              </w:rPr>
              <w:t>No disponible</w:t>
            </w:r>
          </w:p>
        </w:tc>
      </w:tr>
      <w:tr>
        <w:tc>
          <w:tcPr>
            <w:tcW w:type="dxa" w:w="2412"/>
            <w:shd w:fill="FFFFFF"/>
            <w:tcMar>
              <w:top w:w="100" w:type="dxa"/>
              <w:bottom w:w="100" w:type="dxa"/>
              <w:left w:w="120" w:type="dxa"/>
              <w:right w:w="120" w:type="dxa"/>
            </w:tcMar>
          </w:tcPr>
          <w:p>
            <w:r>
              <w:rPr>
                <w:b/>
                <w:color w:val="0F172A"/>
                <w:sz w:val="18"/>
              </w:rPr>
              <w:t>Reporte por Fechas / Excel</w:t>
            </w:r>
          </w:p>
        </w:tc>
        <w:tc>
          <w:tcPr>
            <w:tcW w:type="dxa" w:w="2412"/>
            <w:shd w:fill="FFFFFF"/>
            <w:tcMar>
              <w:top w:w="100" w:type="dxa"/>
              <w:bottom w:w="100" w:type="dxa"/>
              <w:left w:w="120" w:type="dxa"/>
              <w:right w:w="120" w:type="dxa"/>
            </w:tcMar>
          </w:tcPr>
          <w:p>
            <w:r>
              <w:rPr>
                <w:color w:val="059669"/>
                <w:sz w:val="18"/>
              </w:rPr>
              <w:t>Sí (Generación y Descarga)</w:t>
            </w:r>
          </w:p>
        </w:tc>
        <w:tc>
          <w:tcPr>
            <w:tcW w:type="dxa" w:w="2412"/>
            <w:shd w:fill="FFFFFF"/>
            <w:tcMar>
              <w:top w:w="100" w:type="dxa"/>
              <w:bottom w:w="100" w:type="dxa"/>
              <w:left w:w="120" w:type="dxa"/>
              <w:right w:w="120" w:type="dxa"/>
            </w:tcMar>
          </w:tcPr>
          <w:p>
            <w:r>
              <w:rPr>
                <w:color w:val="94A3B8"/>
                <w:sz w:val="18"/>
              </w:rPr>
              <w:t>No disponible</w:t>
            </w:r>
          </w:p>
        </w:tc>
        <w:tc>
          <w:tcPr>
            <w:tcW w:type="dxa" w:w="2412"/>
            <w:shd w:fill="FFFFFF"/>
            <w:tcMar>
              <w:top w:w="100" w:type="dxa"/>
              <w:bottom w:w="100" w:type="dxa"/>
              <w:left w:w="120" w:type="dxa"/>
              <w:right w:w="120" w:type="dxa"/>
            </w:tcMar>
          </w:tcPr>
          <w:p>
            <w:r>
              <w:rPr>
                <w:color w:val="94A3B8"/>
                <w:sz w:val="18"/>
              </w:rPr>
              <w:t>No disponible</w:t>
            </w:r>
          </w:p>
        </w:tc>
      </w:tr>
    </w:tbl>
    <w:p>
      <w:pPr>
        <w:spacing w:after="200"/>
      </w:pPr>
    </w:p>
    <w:p>
      <w:pPr>
        <w:pStyle w:val="Heading1"/>
        <w:spacing w:before="360" w:after="160"/>
      </w:pPr>
      <w:r>
        <w:rPr>
          <w:rFonts w:ascii="Calibri" w:hAnsi="Calibri"/>
          <w:color w:val="0F172A"/>
          <w:sz w:val="32"/>
        </w:rPr>
        <w:t>2. MÓDULO DE AUTENTICACIÓN Y SEGURIDAD</w:t>
      </w:r>
    </w:p>
    <w:p>
      <w:r>
        <w:t>El acceso a la plataforma está protegido mediante autenticación con tokens seguros HTTP-only JWT y contraseñas cifradas con algoritmo Bcrypt. Todos los usuarios deben ingresar a través de la pantalla principal de login.</w:t>
      </w:r>
    </w:p>
    <w:p>
      <w:r>
        <w:rPr>
          <w:b/>
        </w:rPr>
        <w:t>Pasos para Iniciar Sesión:</w:t>
        <w:br/>
      </w:r>
      <w:r>
        <w:t>1. Ingrese a la dirección web de la plataforma desde cualquier navegador moderno (Google Chrome, Edge, Safari o Firefox).</w:t>
        <w:br/>
        <w:t>2. Escriba su nombre de usuario en el campo 'Usuario' (ejemplo: cme.alumnonombre o admin).</w:t>
        <w:br/>
        <w:t>3. Escriba su contraseña secreta asignada.</w:t>
        <w:br/>
        <w:t>4. Haga clic en el botón 'Iniciar Sesión'.</w:t>
        <w:br/>
        <w:t>5. El sistema detectará automáticamente su rol y lo redirigirá a la vista correspondiente:</w:t>
        <w:br/>
        <w:t xml:space="preserve">   • Administradores y Supervisores: Panel de Control (/admin)</w:t>
        <w:br/>
        <w:t xml:space="preserve">   • Alumnos y Tutores: Portal del Alumno (/alumno)</w:t>
      </w:r>
    </w:p>
    <w:tbl>
      <w:tblPr>
        <w:tblW w:type="auto" w:w="0"/>
        <w:jc w:val="center"/>
        <w:tblLayout w:type="fixed"/>
        <w:tblLook w:firstColumn="1" w:firstRow="1" w:lastColumn="0" w:lastRow="0" w:noHBand="0" w:noVBand="1" w:val="04A0"/>
      </w:tblPr>
      <w:tblGrid>
        <w:gridCol w:w="9648"/>
      </w:tblGrid>
      <w:tr>
        <w:tc>
          <w:tcPr>
            <w:tcW w:type="dxa" w:w="9360"/>
            <w:shd w:fill="EFF6FF"/>
            <w:tcMar>
              <w:top w:w="160" w:type="dxa"/>
              <w:bottom w:w="160" w:type="dxa"/>
              <w:left w:w="200" w:type="dxa"/>
              <w:right w:w="200" w:type="dxa"/>
            </w:tcMar>
            <w:tcBorders>
              <w:top w:val="none"/>
              <w:bottom w:val="none"/>
              <w:right w:val="none"/>
              <w:left w:val="single" w:sz="24" w:space="0" w:color="3B82F6"/>
            </w:tcBorders>
          </w:tcPr>
          <w:p>
            <w:pPr>
              <w:spacing w:before="40" w:after="80"/>
            </w:pPr>
            <w:r>
              <w:rPr>
                <w:rFonts w:ascii="Calibri" w:hAnsi="Calibri"/>
                <w:b/>
                <w:color w:val="1E40AF"/>
                <w:sz w:val="22"/>
              </w:rPr>
              <w:t>📌 Seguridad de Sesión y Cierre Seguro</w:t>
              <w:br/>
            </w:r>
            <w:r>
              <w:rPr>
                <w:rFonts w:ascii="Calibri" w:hAnsi="Calibri"/>
                <w:color w:val="334155"/>
                <w:sz w:val="20"/>
              </w:rPr>
              <w:t>Por motivos de privacidad y seguridad bancaria/estudiantil, siempre que termine de usar el sistema debe hacer clic en el botón 'Cerrar Sesión' ubicado en la esquina superior derecha. Esto invalidará la cookie de sesión en el navegador.</w:t>
            </w:r>
          </w:p>
        </w:tc>
      </w:tr>
    </w:tbl>
    <w:p>
      <w:pPr>
        <w:spacing w:after="120"/>
      </w:pPr>
    </w:p>
    <w:p>
      <w:pPr>
        <w:pStyle w:val="Heading1"/>
        <w:spacing w:before="360" w:after="160"/>
      </w:pPr>
      <w:r>
        <w:rPr>
          <w:rFonts w:ascii="Calibri" w:hAnsi="Calibri"/>
          <w:color w:val="0F172A"/>
          <w:sz w:val="32"/>
        </w:rPr>
        <w:t>3. MANUAL DEL PANEL DE ADMINISTRADOR (ADMIN)</w:t>
      </w:r>
    </w:p>
    <w:p>
      <w:r>
        <w:t>El rol de Administrador cuenta con privilegios totales de visualización, auditoría, configuración institucional, gestión de usuarios, modificación de pagos y generación de reportes.</w:t>
      </w:r>
    </w:p>
    <w:p>
      <w:pPr>
        <w:pStyle w:val="Heading2"/>
        <w:spacing w:before="360" w:after="160"/>
      </w:pPr>
      <w:r>
        <w:rPr>
          <w:rFonts w:ascii="Calibri" w:hAnsi="Calibri"/>
          <w:color w:val="0891B2"/>
          <w:sz w:val="26"/>
        </w:rPr>
        <w:t>3.1 Dashboard de Indicadores y Métricas en Tiempo Real</w:t>
      </w:r>
    </w:p>
    <w:p>
      <w:r>
        <w:t>Al entrar a la pestaña 'Dashboard / Métricas', el administrador tiene acceso inmediato a 6 tarjetas analíticas clave:</w:t>
        <w:br/>
        <w:t>• Total Alumnos Activos: Número global de alumnos con estatus 'Alta' en el colegio.</w:t>
        <w:br/>
        <w:t>• Alumnos Nuevo Ingreso (Interactivo): Estudiantes de nuevo ingreso registrados manualmente en los últimos 7 días. Al hacer clic sobre esta tarjeta se abre un cuadro de diálogo con la lista completa, su fecha de registro, nivel y buscador dinámico.</w:t>
        <w:br/>
        <w:t>• Pagos Confirmados (Verde): Cantidad de conceptos validados y aprobados formalmente por el colegio.</w:t>
        <w:br/>
        <w:t>• Pagos En Revisión (Azul): Comprobantes reportados por alumnos pendientes de cotejo bancario.</w:t>
        <w:br/>
        <w:t>• Pagos Pendientes (Ámbar): Conceptos asignados que aún no han sido liquidados o reportados.</w:t>
        <w:br/>
        <w:t>• Requiere Aclaración (Rojo): Pagos con folios no encontrados, montos incorrectos o datos discordantes.</w:t>
      </w:r>
    </w:p>
    <w:p>
      <w:pPr>
        <w:pStyle w:val="Heading2"/>
        <w:spacing w:before="360" w:after="160"/>
      </w:pPr>
      <w:r>
        <w:rPr>
          <w:rFonts w:ascii="Calibri" w:hAnsi="Calibri"/>
          <w:color w:val="0891B2"/>
          <w:sz w:val="26"/>
        </w:rPr>
        <w:t>3.2 Barra Interactiva de Distribución por Estatus</w:t>
      </w:r>
    </w:p>
    <w:p>
      <w:r>
        <w:t>Debajo de las tarjetas se ubica la barra de porcentaje acumulado por color. Al hacer clic sobre cualquier segmento (ej. Confirmado o Requiere Aclaración), la plataforma filtra automáticamente la lista y salta a la pestaña de grupos para consultar únicamente los alumnos con dicho estatus, mostrando un aviso con botón para regresar a ver todos los estatus.</w:t>
      </w:r>
    </w:p>
    <w:p>
      <w:pPr>
        <w:pStyle w:val="Heading2"/>
        <w:spacing w:before="360" w:after="160"/>
      </w:pPr>
      <w:r>
        <w:rPr>
          <w:rFonts w:ascii="Calibri" w:hAnsi="Calibri"/>
          <w:color w:val="0891B2"/>
          <w:sz w:val="26"/>
        </w:rPr>
        <w:t>3.3 Configuración del Ciclo Escolar Actual</w:t>
      </w:r>
    </w:p>
    <w:p>
      <w:r>
        <w:t>En la parte superior del Dashboard se encuentra la caja de 'Configuración del Ciclo Escolar Actual':</w:t>
        <w:br/>
        <w:t>• Permite ingresar el texto identificador del ciclo oficial (por ejemplo: '2026 - 2027').</w:t>
        <w:br/>
        <w:t>• Al presionar 'Guardar Ciclo Escolar', este valor se actualiza instantáneamente en todos los paneles, reportes y dashboards de los alumnos.</w:t>
      </w:r>
    </w:p>
    <w:p>
      <w:pPr>
        <w:pStyle w:val="Heading2"/>
        <w:spacing w:before="360" w:after="160"/>
      </w:pPr>
      <w:r>
        <w:rPr>
          <w:rFonts w:ascii="Calibri" w:hAnsi="Calibri"/>
          <w:color w:val="0891B2"/>
          <w:sz w:val="26"/>
        </w:rPr>
        <w:t>3.4 Proceso de Migración Anual al Siguiente Ciclo Escolar</w:t>
      </w:r>
    </w:p>
    <w:p>
      <w:r>
        <w:t>La plataforma incluye un motor automático de transición de ciclo escolar diseñado bajo estrictas reglas pedagógicas:</w:t>
        <w:br/>
        <w:t>• Activación temporal: Por seguridad operativa, el botón 'Migrar Alumnos al Siguiente Ciclo Escolar' solo se activa a partir del mes de Julio de cada año escolar.</w:t>
        <w:br/>
        <w:t>• Promoción automática de grados:</w:t>
        <w:br/>
        <w:t xml:space="preserve">   - Pre-Maternal (N1) ➔ Maternal (N2)</w:t>
        <w:br/>
        <w:t xml:space="preserve">   - Maternal (N2) ➔ Kinder 1 (K1)</w:t>
        <w:br/>
        <w:t xml:space="preserve">   - Kinder 1 ➔ Kinder 2 | Kinder 2 ➔ Kinder 3 | Kinder 3 ➔ 1º Primaria</w:t>
        <w:br/>
        <w:t xml:space="preserve">   - Primaria: 1º a 2º, 2º a 3º, 3º a 4º, 4º a 5º, 5º a 6º</w:t>
        <w:br/>
        <w:t xml:space="preserve">   - 6º Primaria ➔ 7º Secundaria</w:t>
        <w:br/>
        <w:t xml:space="preserve">   - Secundaria: 7º a 8º, 8º a 9º</w:t>
        <w:br/>
        <w:t xml:space="preserve">   - 9º Secundaria ➔ 10º Preparatoria</w:t>
        <w:br/>
        <w:t xml:space="preserve">   - Preparatoria: 10º a 11º, 11º a 12º</w:t>
        <w:br/>
        <w:t xml:space="preserve">   - 12º Preparatoria ➔ Egresados: Los graduados son transferidos a la pestaña especial 'Egresados'.</w:t>
        <w:br/>
        <w:t>• Cuadro de diálogo de confirmación: Solicita confirmar el nombre del nuevo ciclo escolar (ej. 2027 - 2028) y advierte que la acción reinicia los estados de pago a 'Pendiente' para el nuevo año.</w:t>
      </w:r>
    </w:p>
    <w:tbl>
      <w:tblPr>
        <w:tblW w:type="auto" w:w="0"/>
        <w:jc w:val="center"/>
        <w:tblLayout w:type="fixed"/>
        <w:tblLook w:firstColumn="1" w:firstRow="1" w:lastColumn="0" w:lastRow="0" w:noHBand="0" w:noVBand="1" w:val="04A0"/>
      </w:tblPr>
      <w:tblGrid>
        <w:gridCol w:w="9648"/>
      </w:tblGrid>
      <w:tr>
        <w:tc>
          <w:tcPr>
            <w:tcW w:type="dxa" w:w="9360"/>
            <w:shd w:fill="FFF1F2"/>
            <w:tcMar>
              <w:top w:w="160" w:type="dxa"/>
              <w:bottom w:w="160" w:type="dxa"/>
              <w:left w:w="200" w:type="dxa"/>
              <w:right w:w="200" w:type="dxa"/>
            </w:tcMar>
            <w:tcBorders>
              <w:top w:val="none"/>
              <w:bottom w:val="none"/>
              <w:right w:val="none"/>
              <w:left w:val="single" w:sz="24" w:space="0" w:color="F43F5E"/>
            </w:tcBorders>
          </w:tcPr>
          <w:p>
            <w:pPr>
              <w:spacing w:before="40" w:after="80"/>
            </w:pPr>
            <w:r>
              <w:rPr>
                <w:rFonts w:ascii="Calibri" w:hAnsi="Calibri"/>
                <w:b/>
                <w:color w:val="9F1239"/>
                <w:sz w:val="22"/>
              </w:rPr>
              <w:t>📌 Protección de Alumnos Egresados</w:t>
              <w:br/>
            </w:r>
            <w:r>
              <w:rPr>
                <w:rFonts w:ascii="Calibri" w:hAnsi="Calibri"/>
                <w:color w:val="334155"/>
                <w:sz w:val="20"/>
              </w:rPr>
              <w:t>Los estudiantes de 12º de Preparatoria que migran a 'Egresados' no se eliminan inmediatamente; se conservan para consulta en su pestaña dedicada. La pestaña cuenta con un botón especial de 'Eliminar Lista de Egresados' con doble confirmación para vaciar la lista únicamente cuando la dirección lo autorice.</w:t>
            </w:r>
          </w:p>
        </w:tc>
      </w:tr>
    </w:tbl>
    <w:p>
      <w:pPr>
        <w:spacing w:after="120"/>
      </w:pPr>
    </w:p>
    <w:p>
      <w:pPr>
        <w:pStyle w:val="Heading1"/>
        <w:spacing w:before="360" w:after="160"/>
      </w:pPr>
      <w:r>
        <w:rPr>
          <w:rFonts w:ascii="Calibri" w:hAnsi="Calibri"/>
          <w:color w:val="0F172A"/>
          <w:sz w:val="32"/>
        </w:rPr>
        <w:t>4. GESTIÓN DE PESTAÑAS DE GRUPOS ASIGNADAS POR NIVEL</w:t>
      </w:r>
    </w:p>
    <w:p>
      <w:r>
        <w:t>Para facilitar la localización de cualquier grupo entre cientos de alumnos, el sistema organiza las pestañas en secciones claramente identificadas con colores e íconos institucionales:</w:t>
      </w:r>
    </w:p>
    <w:p>
      <w:r>
        <w:t>1. Pre - Maternal (N1) — Naranja/Ámbar</w:t>
        <w:br/>
        <w:t>2. Maternal (N2) — Ámbar/Melocotón</w:t>
        <w:br/>
        <w:t>3. Kinder (K1, K2, K3) — Amarillo/Dorado</w:t>
        <w:br/>
        <w:t>4. Primaria (1, 2, 3, 4, 5, 6) — Cian Institucional</w:t>
        <w:br/>
        <w:t>5. Secundaria (7, 8, 9) — Índigo</w:t>
        <w:br/>
        <w:t>6. Preparatoria (10, 11, 12) — Púrpura</w:t>
        <w:br/>
        <w:t>7. Egresados — Rosa/Fucsia</w:t>
        <w:br/>
        <w:t>8. Administración — Esmeralda (para personal administrativo y supervisores)</w:t>
        <w:br/>
        <w:t>9. Otros Grupos — Gris pizarra (grupos personalizados no clasificados)</w:t>
      </w:r>
    </w:p>
    <w:p>
      <w:pPr>
        <w:pStyle w:val="Heading2"/>
        <w:spacing w:before="360" w:after="160"/>
      </w:pPr>
      <w:r>
        <w:rPr>
          <w:rFonts w:ascii="Calibri" w:hAnsi="Calibri"/>
          <w:color w:val="0891B2"/>
          <w:sz w:val="26"/>
        </w:rPr>
        <w:t>4.1 Acciones Disponibles en las Pestañas de Grupo</w:t>
      </w:r>
    </w:p>
    <w:p>
      <w:r>
        <w:t>• Selección Rápida: Al hacer clic sobre cualquier pestaña de grupo (ej. 1A, 2B, K2A), la tabla de abajo se actualiza mostrando el contador de alumnos inscritos en esa burbuja.</w:t>
        <w:br/>
        <w:t>• Botón 'Agregar Pestaña' (+): Permite crear una nueva sección o grupo vacío indicando su nivel escolar, grado y grupo (ej. Grado 4, Grupo C).</w:t>
        <w:br/>
        <w:t>• Editar Nombre de Pestaña (Ícono de Lápiz ✏️): Cada grupo cuenta con un botón de lápiz que permite modificar el grado o grupo (ejemplo: renombrar grupo '3C' a '3D'). Al guardar, el sistema actualiza automáticamente a todos los alumnos que pertenecían a dicho grupo.</w:t>
      </w:r>
    </w:p>
    <w:p>
      <w:pPr>
        <w:pStyle w:val="Heading1"/>
        <w:spacing w:before="360" w:after="160"/>
      </w:pPr>
      <w:r>
        <w:rPr>
          <w:rFonts w:ascii="Calibri" w:hAnsi="Calibri"/>
          <w:color w:val="0F172A"/>
          <w:sz w:val="32"/>
        </w:rPr>
        <w:t>5. MATRIZ DE PAGOS POR GRUPO (PANEL DE VERIFICACIÓN)</w:t>
      </w:r>
    </w:p>
    <w:p>
      <w:r>
        <w:t>La Matriz de Pagos es la herramienta central de auditoría del colegio. Muestra una cuadrícula completa con los alumnos del grupo activo y el estatus de cada uno de sus conceptos requeridos.</w:t>
      </w:r>
    </w:p>
    <w:p>
      <w:pPr>
        <w:pStyle w:val="Heading2"/>
        <w:spacing w:before="360" w:after="160"/>
      </w:pPr>
      <w:r>
        <w:rPr>
          <w:rFonts w:ascii="Calibri" w:hAnsi="Calibri"/>
          <w:color w:val="0891B2"/>
          <w:sz w:val="26"/>
        </w:rPr>
        <w:t>5.1 Sistema de Flechas de Navegación Rápida (Anterior / Siguiente)</w:t>
      </w:r>
    </w:p>
    <w:p>
      <w:r>
        <w:t>Para agilizar la revisión grupo por grupo sin necesidad de buscar en la lista superior:</w:t>
        <w:br/>
        <w:t>• Doble Ubicación: Se han incorporado controles de flechas en la cabecera superior (donde inicia la matriz) y al pie inferior de la tabla.</w:t>
        <w:br/>
        <w:t>• Indicador Central Prominente: Muestra el grupo actual (ej. Grupo actual: 2A) y su posición secuencial exacta (ej. 5/18).</w:t>
        <w:br/>
        <w:t>• Botones de Avance y Retroceso: Muestran el nombre del grupo hacia donde se moverá (ej. 'Anterior (1B)' y 'Siguiente (2B)').</w:t>
        <w:br/>
        <w:t>• Posición Fija y Estable: La vista se mantiene fija y sin saltos hacia abajo, permitiendo cambiar de grupo con clics rápidos consecutivos.</w:t>
      </w:r>
    </w:p>
    <w:p>
      <w:pPr>
        <w:pStyle w:val="Heading2"/>
        <w:spacing w:before="360" w:after="160"/>
      </w:pPr>
      <w:r>
        <w:rPr>
          <w:rFonts w:ascii="Calibri" w:hAnsi="Calibri"/>
          <w:color w:val="0891B2"/>
          <w:sz w:val="26"/>
        </w:rPr>
        <w:t>5.2 Etiqueta de 'Nuevo Ingreso' con Fecha y Vigencia de 1 Semana</w:t>
      </w:r>
    </w:p>
    <w:p>
      <w:r>
        <w:t>Cuando el administrador da de alta a un nuevo alumno manualmente en el sistema:</w:t>
        <w:br/>
        <w:t>• Aparece una insignia esmeralda junto a su nombre con el texto: '(Nuevo Ingreso - DD/MM/AAAA)'.</w:t>
        <w:br/>
        <w:t>• Vigencia: La etiqueta permanece visible durante exactamente una semana (7 días naturales) desde su registro.</w:t>
        <w:br/>
        <w:t>• Retiro automático: Pasada la semana, el sistema retira automáticamente el distintivo sin intervención manual.</w:t>
      </w:r>
    </w:p>
    <w:p>
      <w:pPr>
        <w:pStyle w:val="Heading2"/>
        <w:spacing w:before="360" w:after="160"/>
      </w:pPr>
      <w:r>
        <w:rPr>
          <w:rFonts w:ascii="Calibri" w:hAnsi="Calibri"/>
          <w:color w:val="0891B2"/>
          <w:sz w:val="26"/>
        </w:rPr>
        <w:t>5.3 Conceptos Auditados en la Matriz</w:t>
      </w:r>
    </w:p>
    <w:p>
      <w:r>
        <w:t>La matriz del administrador desglosa 7 columnas de conceptos:</w:t>
        <w:br/>
        <w:t>1. Inscripción (Pago anual único)</w:t>
        <w:br/>
        <w:t>2. Cuota de Tecnología (Plataforma y soporte digital)</w:t>
        <w:br/>
        <w:t>3. Cuota de Material (Material didáctico y laboratorio)</w:t>
        <w:br/>
        <w:t>4. Seguro Escolar (Cobertura médica estudiantil)</w:t>
        <w:br/>
        <w:t>5. Licencia Knotion (Plataforma interactiva para los niveles correspondientes)</w:t>
        <w:br/>
        <w:t>6. Cuota de Lypro (Plataforma educativa con manual de usuario integrado)</w:t>
        <w:br/>
        <w:t>7. Colegiaturas Mensuales (Desglose de mensualidades Septiembre - Junio)</w:t>
      </w:r>
    </w:p>
    <w:p>
      <w:pPr>
        <w:pStyle w:val="Heading2"/>
        <w:spacing w:before="360" w:after="160"/>
      </w:pPr>
      <w:r>
        <w:rPr>
          <w:rFonts w:ascii="Calibri" w:hAnsi="Calibri"/>
          <w:color w:val="0891B2"/>
          <w:sz w:val="26"/>
        </w:rPr>
        <w:t>5.4 Ventana Modal de Edición de Pago (Al hacer clic en cualquier badge)</w:t>
      </w:r>
    </w:p>
    <w:p>
      <w:r>
        <w:t>Al presionar sobre el botón de estatus de cualquier pago, se despliega el formulario modal de control administrativo:</w:t>
        <w:br/>
        <w:t>• Cambio de Estatus: Selección entre Pendiente, En Revisión, Confirmado o Requiere Aclaración.</w:t>
        <w:br/>
        <w:t>• Fecha de Confirmado: Fecha en que se validó el depósito bancario. Se muestra de forma destacada en color verde en la tabla.</w:t>
        <w:br/>
        <w:t>• Fecha de Vencimiento: Permite asignar una fecha límite de pago que el alumno verá en su portal.</w:t>
        <w:br/>
        <w:t>• Motivo de Aclaración: Campo para escribir el detalle exacto cuando un pago es rechazado o tiene inconsistencias (ej. 'El número de confirmación 12345 no coincide con el estado de cuenta bancario').</w:t>
        <w:br/>
        <w:t>• Comentario del Colegio: Anotaciones internas entre el personal administrativo.</w:t>
        <w:br/>
        <w:t>• Nota del Concepto: Indicaciones especiales para el concepto (ej. 'Beca 20% aplicada').</w:t>
      </w:r>
    </w:p>
    <w:p>
      <w:pPr>
        <w:pStyle w:val="Heading1"/>
        <w:spacing w:before="360" w:after="160"/>
      </w:pPr>
      <w:r>
        <w:rPr>
          <w:rFonts w:ascii="Calibri" w:hAnsi="Calibri"/>
          <w:color w:val="0F172A"/>
          <w:sz w:val="32"/>
        </w:rPr>
        <w:t>6. CATÁLOGO DE ALUMNOS Y GESTIÓN DE USUARIOS</w:t>
      </w:r>
    </w:p>
    <w:p>
      <w:r>
        <w:t>En la pestaña 'Gestión de Alumnos', el administrador puede realizar el ciclo de vida completo de las cuentas de acceso.</w:t>
      </w:r>
    </w:p>
    <w:p>
      <w:pPr>
        <w:pStyle w:val="Heading2"/>
        <w:spacing w:before="360" w:after="160"/>
      </w:pPr>
      <w:r>
        <w:rPr>
          <w:rFonts w:ascii="Calibri" w:hAnsi="Calibri"/>
          <w:color w:val="0891B2"/>
          <w:sz w:val="26"/>
        </w:rPr>
        <w:t>6.1 Registro de Nuevos Alumnos y Usuarios Administrativos</w:t>
      </w:r>
    </w:p>
    <w:p>
      <w:r>
        <w:t>Al presionar el botón 'Nuevo Alumno / Usuario', se abre el modal con dos pestañas de registro:</w:t>
        <w:br/>
        <w:t>• Pestaña 'Alumno':</w:t>
        <w:br/>
        <w:t xml:space="preserve">   - Nivel Escolar: Selección entre Pre-Maternal, Maternal, Kinder, Primaria, Secundaria o Preparatoria.</w:t>
        <w:br/>
        <w:t xml:space="preserve">   - Grado y Grupo: Asignación escolar (ej. 1º 'A').</w:t>
        <w:br/>
        <w:t xml:space="preserve">   - Nombre Completo: Nombre y apellidos del estudiante.</w:t>
        <w:br/>
        <w:t xml:space="preserve">   - Usuario: Identificador único de inicio de sesión (ej. cme.juanperez).</w:t>
        <w:br/>
        <w:t xml:space="preserve">   - Contraseña: Clave de acceso inicial.</w:t>
        <w:br/>
        <w:t xml:space="preserve">   - Estatus: Alta o Baja.</w:t>
        <w:br/>
        <w:t>• Pestaña 'Administración':</w:t>
        <w:br/>
        <w:t xml:space="preserve">   - Permite dar de alta cuentas de control institucional.</w:t>
        <w:br/>
        <w:t xml:space="preserve">   - Nivel Escolar Asignado:</w:t>
        <w:br/>
        <w:t xml:space="preserve">     * 'No Aplica (Admin)': Para personal administrativo con acceso total.</w:t>
        <w:br/>
        <w:t xml:space="preserve">     * 'No Aplica Supervisor': Para personal de auditoría que solo tendrá acceso al panel de supervisión.</w:t>
      </w:r>
    </w:p>
    <w:p>
      <w:pPr>
        <w:pStyle w:val="Heading2"/>
        <w:spacing w:before="360" w:after="160"/>
      </w:pPr>
      <w:r>
        <w:rPr>
          <w:rFonts w:ascii="Calibri" w:hAnsi="Calibri"/>
          <w:color w:val="0891B2"/>
          <w:sz w:val="26"/>
        </w:rPr>
        <w:t>6.2 Edición, Baja y Restablecimiento de Contraseñas</w:t>
      </w:r>
    </w:p>
    <w:p>
      <w:r>
        <w:t>En la tabla del catálogo, cada fila cuenta con botones de acción rápida:</w:t>
        <w:br/>
        <w:t>• Editar (Lápiz): Modifica el nombre, nivel, grado o grupo del usuario.</w:t>
        <w:br/>
        <w:t>• Restablecer Contraseña (Llave 🔑): Permite asignar una nueva contraseña cuando el alumno o tutor la olvide.</w:t>
        <w:br/>
        <w:t>• Dar de Baja / Alta (Ícono de Usuario): Desactiva temporalmente el acceso del alumno al portal sin borrar su historial financiero.</w:t>
      </w:r>
    </w:p>
    <w:p>
      <w:pPr>
        <w:pStyle w:val="Heading1"/>
        <w:spacing w:before="360" w:after="160"/>
      </w:pPr>
      <w:r>
        <w:rPr>
          <w:rFonts w:ascii="Calibri" w:hAnsi="Calibri"/>
          <w:color w:val="0F172A"/>
          <w:sz w:val="32"/>
        </w:rPr>
        <w:t>7. REPORTE DE ALUMNOS QUE PAGARON POR FECHA</w:t>
      </w:r>
    </w:p>
    <w:p>
      <w:r>
        <w:t>Ubicado en el Dashboard, este reporte permite auditar el flujo de ingresos en un periodo calendario determinado:</w:t>
        <w:br/>
        <w:t>• Filtro de Fechas: Selección de 'Fecha Inicio' y 'Fecha Fin' (por defecto muestra los últimos 30 días).</w:t>
        <w:br/>
        <w:t>• Tabla Depurada: Muestra Alumno, Usuario, Nivel/Grupo, Concepto Liquidado, Folio/Confirmación y Fecha de Pago Confirmado (la columna de comentarios internos fue retirada para entregar un reporte limpio y ejecutivo).</w:t>
        <w:br/>
        <w:t>• Botón 'Exportar a Excel (.xlsx)': Genera un archivo de hoja de cálculo formateado con los resultados del filtro para su entrega a Contabilidad o Dirección General.</w:t>
      </w:r>
    </w:p>
    <w:p>
      <w:pPr>
        <w:pStyle w:val="Heading1"/>
        <w:spacing w:before="360" w:after="160"/>
      </w:pPr>
      <w:r>
        <w:rPr>
          <w:rFonts w:ascii="Calibri" w:hAnsi="Calibri"/>
          <w:color w:val="0F172A"/>
          <w:sz w:val="32"/>
        </w:rPr>
        <w:t>8. IMPORTACIÓN MASIVA VÍA PLANTILLA EXCEL</w:t>
      </w:r>
    </w:p>
    <w:p>
      <w:r>
        <w:t>La pestaña 'Importación Excel' permite registrar cientos de alumnos de forma instantánea al inicio de cada ciclo escolar:</w:t>
        <w:br/>
        <w:t>1. Descargue la plantilla oficial presionando 'Descargar Plantilla Excel'.</w:t>
        <w:br/>
        <w:t>2. Llene las columnas requeridas: Nombre, Usuario, Password, NivelEscolar, Grado, Grupo.</w:t>
        <w:br/>
        <w:t>3. Arrastre o seleccione el archivo .xlsx en el recuadro de carga.</w:t>
        <w:br/>
        <w:t>4. Presione 'Procesar e Importar Alumnos'. El sistema creará las cuentas con sus conceptos base y reportará si hubo registros duplicados.</w:t>
      </w:r>
    </w:p>
    <w:p>
      <w:pPr>
        <w:pStyle w:val="Heading1"/>
        <w:spacing w:before="360" w:after="160"/>
      </w:pPr>
      <w:r>
        <w:rPr>
          <w:rFonts w:ascii="Calibri" w:hAnsi="Calibri"/>
          <w:color w:val="0F172A"/>
          <w:sz w:val="32"/>
        </w:rPr>
        <w:t>9. MANUAL DEL PANEL DE SUPERVISOR (AUDITORÍA)</w:t>
      </w:r>
    </w:p>
    <w:p>
      <w:r>
        <w:t>El rol de Supervisor está diseñado para coordinadores académicos y auditores de plataforma que requieren vigilar el cumplimiento de pagos sin riesgo de modificar accidentalmente la información contable.</w:t>
      </w:r>
    </w:p>
    <w:p>
      <w:r>
        <w:t>Características Exclusivas del Panel de Supervisor:</w:t>
        <w:br/>
        <w:t>• Dashboard Simplificado: Solo visualiza la barra analítica de 'Distribución por Estatus de Pago'.</w:t>
        <w:br/>
        <w:t>• Pestaña Única de Verificación: Acceso directo a la Matriz de Pagos por Grupo.</w:t>
        <w:br/>
        <w:t>• Conceptos Auditados Específicos: La matriz se limita estrictamente a los conceptos de supervisión:</w:t>
        <w:br/>
        <w:t xml:space="preserve">   1. Licencia Knotion</w:t>
        <w:br/>
        <w:t xml:space="preserve">   2. Cuota de Tecnología</w:t>
        <w:br/>
        <w:t xml:space="preserve">   3. Cuota de Lypro</w:t>
        <w:br/>
        <w:t>• Modo de Solo Lectura: Los botones de estatus son informativos; el supervisor no puede cambiar estados, redactar aclaraciones ni alterar nombres de grupos.</w:t>
        <w:br/>
        <w:t>• Flechas de Navegación Ágil: Cuenta con las mismas flechas Anterior y Siguiente superiores e inferiores para auditar grupos rápidamente.</w:t>
      </w:r>
    </w:p>
    <w:p>
      <w:pPr>
        <w:pStyle w:val="Heading1"/>
        <w:spacing w:before="360" w:after="160"/>
      </w:pPr>
      <w:r>
        <w:rPr>
          <w:rFonts w:ascii="Calibri" w:hAnsi="Calibri"/>
          <w:color w:val="0F172A"/>
          <w:sz w:val="32"/>
        </w:rPr>
        <w:t>10. MANUAL DEL PANEL DEL ALUMNO / TUTOR</w:t>
      </w:r>
    </w:p>
    <w:p>
      <w:r>
        <w:t>Al iniciar sesión con una cuenta de Alumno, el portal ofrece un entorno amigable y transparente donde consultar sus obligaciones escolares y reportar sus pagos.</w:t>
      </w:r>
    </w:p>
    <w:p>
      <w:pPr>
        <w:pStyle w:val="Heading2"/>
        <w:spacing w:before="360" w:after="160"/>
      </w:pPr>
      <w:r>
        <w:rPr>
          <w:rFonts w:ascii="Calibri" w:hAnsi="Calibri"/>
          <w:color w:val="0891B2"/>
          <w:sz w:val="26"/>
        </w:rPr>
        <w:t>10.1 Resumen y Fechas de Vencimiento Específicas por Nivel</w:t>
      </w:r>
    </w:p>
    <w:p>
      <w:r>
        <w:t>• Ciclo Escolar Activo: Muestra el ciclo oficial vigente en la parte superior.</w:t>
        <w:br/>
        <w:t>• Tarjetas de Estado: Resumen de conceptos Confirmados, En Revisión, Pendientes y con Aclaración.</w:t>
        <w:br/>
        <w:t>• Fechas de Vencimiento: Se muestran en un recuadro destacado únicamente los conceptos que aplican al nivel escolar del alumno (ej. Licencia Knotion solo se muestra para alumnos cuyos grados requieran Knotion).</w:t>
      </w:r>
    </w:p>
    <w:p>
      <w:pPr>
        <w:pStyle w:val="Heading2"/>
        <w:spacing w:before="360" w:after="160"/>
      </w:pPr>
      <w:r>
        <w:rPr>
          <w:rFonts w:ascii="Calibri" w:hAnsi="Calibri"/>
          <w:color w:val="0891B2"/>
          <w:sz w:val="26"/>
        </w:rPr>
        <w:t>10.2 Módulo 'Reportar Pago'</w:t>
      </w:r>
    </w:p>
    <w:p>
      <w:r>
        <w:t>Pasos para reportar un comprobante de pago:</w:t>
        <w:br/>
        <w:t>1. En la lista de conceptos, ubique el pago pendiente y haga clic en 'Reportar Pago'.</w:t>
        <w:br/>
        <w:t>2. Ingrese el Número de Confirmación, Folio de Transferencia o Autorización Bancaria.</w:t>
        <w:br/>
        <w:t>3. Seleccione la fecha exacta en que realizó el pago.</w:t>
        <w:br/>
        <w:t>4. Si es colegiatura mensual, confirme el mes correspondiente (ej. Octubre).</w:t>
        <w:br/>
        <w:t>5. Presione 'Enviar Reporte de Pago'. El estatus pasará a 'En Revisión' y el administrador será notificado.</w:t>
      </w:r>
    </w:p>
    <w:p>
      <w:pPr>
        <w:pStyle w:val="Heading2"/>
        <w:spacing w:before="360" w:after="160"/>
      </w:pPr>
      <w:r>
        <w:rPr>
          <w:rFonts w:ascii="Calibri" w:hAnsi="Calibri"/>
          <w:color w:val="0891B2"/>
          <w:sz w:val="26"/>
        </w:rPr>
        <w:t>10.3 Módulo de Aclaración de Pagos</w:t>
      </w:r>
    </w:p>
    <w:p>
      <w:r>
        <w:t>Si un pago cambia al estado 'Requiere Aclaración':</w:t>
        <w:br/>
        <w:t>• El alumno verá un cuadro de alerta rojo con el motivo exacto redactado por el colegio.</w:t>
        <w:br/>
        <w:t>• Cuenta con una caja de respuesta para redactar su aclaración (ej. 'Adjunto comprobante corregido con folio 98765').</w:t>
        <w:br/>
        <w:t>• Al enviar la respuesta, el pago regresa a 'En Revisión' para que el administrador lo revalide.</w:t>
      </w:r>
    </w:p>
    <w:p>
      <w:pPr>
        <w:pStyle w:val="Heading2"/>
        <w:spacing w:before="360" w:after="160"/>
      </w:pPr>
      <w:r>
        <w:rPr>
          <w:rFonts w:ascii="Calibri" w:hAnsi="Calibri"/>
          <w:color w:val="0891B2"/>
          <w:sz w:val="26"/>
        </w:rPr>
        <w:t>10.4 Manual de Usuario Lypro y Código del Colegio</w:t>
      </w:r>
    </w:p>
    <w:p>
      <w:r>
        <w:t>En la tarjeta del concepto 'Cuota de Lypro', el alumno tiene acceso al botón 'Ver Manual de Pago Lypro':</w:t>
        <w:br/>
        <w:t>• Abre un visor del manual oficial en PDF con las instrucciones de la pasarela Lypro.</w:t>
        <w:br/>
        <w:t>• Incluye un botón para copiar el Código Institucional del Colegio en un solo clic.</w:t>
        <w:br/>
        <w:t>• Permite descargar el PDF en el dispositivo.</w:t>
      </w:r>
    </w:p>
    <w:p>
      <w:pPr>
        <w:pStyle w:val="Heading2"/>
        <w:spacing w:before="360" w:after="160"/>
      </w:pPr>
      <w:r>
        <w:rPr>
          <w:rFonts w:ascii="Calibri" w:hAnsi="Calibri"/>
          <w:color w:val="0891B2"/>
          <w:sz w:val="26"/>
        </w:rPr>
        <w:t>10.5 Notificaciones y Limpieza de Alertas</w:t>
      </w:r>
    </w:p>
    <w:p>
      <w:r>
        <w:t>En la barra superior del alumno, el ícono de campanita 🔔 muestra las alertas de pagos confirmados o aclaraciones requeridas. El alumno puede presionar el botón de eliminar para descartar las notificaciones que ya haya leído.</w:t>
      </w:r>
    </w:p>
    <w:p>
      <w:pPr>
        <w:pStyle w:val="Heading1"/>
        <w:spacing w:before="360" w:after="160"/>
      </w:pPr>
      <w:r>
        <w:rPr>
          <w:rFonts w:ascii="Calibri" w:hAnsi="Calibri"/>
          <w:color w:val="0F172A"/>
          <w:sz w:val="32"/>
        </w:rPr>
        <w:t>11. CICLO DE VIDA DEL PAGO Y ESTADOS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216"/>
        <w:gridCol w:w="3216"/>
        <w:gridCol w:w="3216"/>
      </w:tblGrid>
      <w:tr>
        <w:tc>
          <w:tcPr>
            <w:tcW w:type="dxa" w:w="3216"/>
            <w:shd w:fill="0F172A"/>
            <w:tcMar>
              <w:top w:w="140" w:type="dxa"/>
              <w:bottom w:w="140" w:type="dxa"/>
              <w:left w:w="140" w:type="dxa"/>
              <w:right w:w="140" w:type="dxa"/>
            </w:tcMar>
          </w:tcPr>
          <w:p>
            <w:r>
              <w:rPr>
                <w:b/>
                <w:color w:val="FFFFFF"/>
                <w:sz w:val="19"/>
              </w:rPr>
              <w:t>Estado del Pago</w:t>
            </w:r>
          </w:p>
        </w:tc>
        <w:tc>
          <w:tcPr>
            <w:tcW w:type="dxa" w:w="3216"/>
            <w:shd w:fill="0F172A"/>
            <w:tcMar>
              <w:top w:w="140" w:type="dxa"/>
              <w:bottom w:w="140" w:type="dxa"/>
              <w:left w:w="140" w:type="dxa"/>
              <w:right w:w="140" w:type="dxa"/>
            </w:tcMar>
          </w:tcPr>
          <w:p>
            <w:r>
              <w:rPr>
                <w:b/>
                <w:color w:val="FFFFFF"/>
                <w:sz w:val="19"/>
              </w:rPr>
              <w:t>Significado Operativo</w:t>
            </w:r>
          </w:p>
        </w:tc>
        <w:tc>
          <w:tcPr>
            <w:tcW w:type="dxa" w:w="3216"/>
            <w:shd w:fill="0F172A"/>
            <w:tcMar>
              <w:top w:w="140" w:type="dxa"/>
              <w:bottom w:w="140" w:type="dxa"/>
              <w:left w:w="140" w:type="dxa"/>
              <w:right w:w="140" w:type="dxa"/>
            </w:tcMar>
          </w:tcPr>
          <w:p>
            <w:r>
              <w:rPr>
                <w:b/>
                <w:color w:val="FFFFFF"/>
                <w:sz w:val="19"/>
              </w:rPr>
              <w:t>Acción Correspondiente</w:t>
            </w:r>
          </w:p>
        </w:tc>
      </w:tr>
      <w:tr>
        <w:tc>
          <w:tcPr>
            <w:tcW w:type="dxa" w:w="3216"/>
            <w:shd w:fill="F8FAFC"/>
            <w:tcMar>
              <w:top w:w="100" w:type="dxa"/>
              <w:bottom w:w="100" w:type="dxa"/>
              <w:left w:w="120" w:type="dxa"/>
              <w:right w:w="120" w:type="dxa"/>
            </w:tcMar>
          </w:tcPr>
          <w:p>
            <w:r>
              <w:rPr>
                <w:b/>
                <w:color w:val="D97706"/>
                <w:sz w:val="18"/>
              </w:rPr>
              <w:t>Pendiente (Ámbar)</w:t>
            </w:r>
          </w:p>
        </w:tc>
        <w:tc>
          <w:tcPr>
            <w:tcW w:type="dxa" w:w="3216"/>
            <w:shd w:fill="F8FAFC"/>
            <w:tcMar>
              <w:top w:w="100" w:type="dxa"/>
              <w:bottom w:w="100" w:type="dxa"/>
              <w:left w:w="120" w:type="dxa"/>
              <w:right w:w="120" w:type="dxa"/>
            </w:tcMar>
          </w:tcPr>
          <w:p>
            <w:r>
              <w:rPr>
                <w:color w:val="334155"/>
                <w:sz w:val="18"/>
              </w:rPr>
              <w:t>El concepto ha sido asignado al alumno pero aún no se recibe folio ni comprobante.</w:t>
            </w:r>
          </w:p>
        </w:tc>
        <w:tc>
          <w:tcPr>
            <w:tcW w:type="dxa" w:w="3216"/>
            <w:shd w:fill="F8FAFC"/>
            <w:tcMar>
              <w:top w:w="100" w:type="dxa"/>
              <w:bottom w:w="100" w:type="dxa"/>
              <w:left w:w="120" w:type="dxa"/>
              <w:right w:w="120" w:type="dxa"/>
            </w:tcMar>
          </w:tcPr>
          <w:p>
            <w:r>
              <w:rPr>
                <w:color w:val="334155"/>
                <w:sz w:val="18"/>
              </w:rPr>
              <w:t>El alumno o tutor debe realizar el pago y reportarlo en la plataforma.</w:t>
            </w:r>
          </w:p>
        </w:tc>
      </w:tr>
      <w:tr>
        <w:tc>
          <w:tcPr>
            <w:tcW w:type="dxa" w:w="3216"/>
            <w:shd w:fill="FFFFFF"/>
            <w:tcMar>
              <w:top w:w="100" w:type="dxa"/>
              <w:bottom w:w="100" w:type="dxa"/>
              <w:left w:w="120" w:type="dxa"/>
              <w:right w:w="120" w:type="dxa"/>
            </w:tcMar>
          </w:tcPr>
          <w:p>
            <w:r>
              <w:rPr>
                <w:b/>
                <w:color w:val="2563EB"/>
                <w:sz w:val="18"/>
              </w:rPr>
              <w:t>En Revisión (Azul)</w:t>
            </w:r>
          </w:p>
        </w:tc>
        <w:tc>
          <w:tcPr>
            <w:tcW w:type="dxa" w:w="3216"/>
            <w:shd w:fill="FFFFFF"/>
            <w:tcMar>
              <w:top w:w="100" w:type="dxa"/>
              <w:bottom w:w="100" w:type="dxa"/>
              <w:left w:w="120" w:type="dxa"/>
              <w:right w:w="120" w:type="dxa"/>
            </w:tcMar>
          </w:tcPr>
          <w:p>
            <w:r>
              <w:rPr>
                <w:color w:val="334155"/>
                <w:sz w:val="18"/>
              </w:rPr>
              <w:t>El alumno ingresó su folio bancario y fecha de pago. Está en espera de validación.</w:t>
            </w:r>
          </w:p>
        </w:tc>
        <w:tc>
          <w:tcPr>
            <w:tcW w:type="dxa" w:w="3216"/>
            <w:shd w:fill="FFFFFF"/>
            <w:tcMar>
              <w:top w:w="100" w:type="dxa"/>
              <w:bottom w:w="100" w:type="dxa"/>
              <w:left w:w="120" w:type="dxa"/>
              <w:right w:w="120" w:type="dxa"/>
            </w:tcMar>
          </w:tcPr>
          <w:p>
            <w:r>
              <w:rPr>
                <w:color w:val="334155"/>
                <w:sz w:val="18"/>
              </w:rPr>
              <w:t>El administrador coteja el estado de cuenta y confirma o pide aclaración.</w:t>
            </w:r>
          </w:p>
        </w:tc>
      </w:tr>
      <w:tr>
        <w:tc>
          <w:tcPr>
            <w:tcW w:type="dxa" w:w="3216"/>
            <w:shd w:fill="F8FAFC"/>
            <w:tcMar>
              <w:top w:w="100" w:type="dxa"/>
              <w:bottom w:w="100" w:type="dxa"/>
              <w:left w:w="120" w:type="dxa"/>
              <w:right w:w="120" w:type="dxa"/>
            </w:tcMar>
          </w:tcPr>
          <w:p>
            <w:r>
              <w:rPr>
                <w:b/>
                <w:color w:val="059669"/>
                <w:sz w:val="18"/>
              </w:rPr>
              <w:t>Confirmado (Verde)</w:t>
            </w:r>
          </w:p>
        </w:tc>
        <w:tc>
          <w:tcPr>
            <w:tcW w:type="dxa" w:w="3216"/>
            <w:shd w:fill="F8FAFC"/>
            <w:tcMar>
              <w:top w:w="100" w:type="dxa"/>
              <w:bottom w:w="100" w:type="dxa"/>
              <w:left w:w="120" w:type="dxa"/>
              <w:right w:w="120" w:type="dxa"/>
            </w:tcMar>
          </w:tcPr>
          <w:p>
            <w:r>
              <w:rPr>
                <w:color w:val="334155"/>
                <w:sz w:val="18"/>
              </w:rPr>
              <w:t>El pago ingresó exitosamente a las cuentas del colegio y ha sido aprobado.</w:t>
            </w:r>
          </w:p>
        </w:tc>
        <w:tc>
          <w:tcPr>
            <w:tcW w:type="dxa" w:w="3216"/>
            <w:shd w:fill="F8FAFC"/>
            <w:tcMar>
              <w:top w:w="100" w:type="dxa"/>
              <w:bottom w:w="100" w:type="dxa"/>
              <w:left w:w="120" w:type="dxa"/>
              <w:right w:w="120" w:type="dxa"/>
            </w:tcMar>
          </w:tcPr>
          <w:p>
            <w:r>
              <w:rPr>
                <w:color w:val="334155"/>
                <w:sz w:val="18"/>
              </w:rPr>
              <w:t>Se registra la fecha de confirmación. El concepto queda liquidado formalmente.</w:t>
            </w:r>
          </w:p>
        </w:tc>
      </w:tr>
      <w:tr>
        <w:tc>
          <w:tcPr>
            <w:tcW w:type="dxa" w:w="3216"/>
            <w:shd w:fill="FFFFFF"/>
            <w:tcMar>
              <w:top w:w="100" w:type="dxa"/>
              <w:bottom w:w="100" w:type="dxa"/>
              <w:left w:w="120" w:type="dxa"/>
              <w:right w:w="120" w:type="dxa"/>
            </w:tcMar>
          </w:tcPr>
          <w:p>
            <w:r>
              <w:rPr>
                <w:b/>
                <w:color w:val="DC2626"/>
                <w:sz w:val="18"/>
              </w:rPr>
              <w:t>Requiere Aclaración (Rojo)</w:t>
            </w:r>
          </w:p>
        </w:tc>
        <w:tc>
          <w:tcPr>
            <w:tcW w:type="dxa" w:w="3216"/>
            <w:shd w:fill="FFFFFF"/>
            <w:tcMar>
              <w:top w:w="100" w:type="dxa"/>
              <w:bottom w:w="100" w:type="dxa"/>
              <w:left w:w="120" w:type="dxa"/>
              <w:right w:w="120" w:type="dxa"/>
            </w:tcMar>
          </w:tcPr>
          <w:p>
            <w:r>
              <w:rPr>
                <w:color w:val="334155"/>
                <w:sz w:val="18"/>
              </w:rPr>
              <w:t>El folio no aparece en bancos, el monto es erróneo o se requiere mayor información.</w:t>
            </w:r>
          </w:p>
        </w:tc>
        <w:tc>
          <w:tcPr>
            <w:tcW w:type="dxa" w:w="3216"/>
            <w:shd w:fill="FFFFFF"/>
            <w:tcMar>
              <w:top w:w="100" w:type="dxa"/>
              <w:bottom w:w="100" w:type="dxa"/>
              <w:left w:w="120" w:type="dxa"/>
              <w:right w:w="120" w:type="dxa"/>
            </w:tcMar>
          </w:tcPr>
          <w:p>
            <w:r>
              <w:rPr>
                <w:color w:val="334155"/>
                <w:sz w:val="18"/>
              </w:rPr>
              <w:t>El alumno debe responder en el portal con la información solicitada.</w:t>
            </w:r>
          </w:p>
        </w:tc>
      </w:tr>
    </w:tbl>
    <w:p>
      <w:pPr>
        <w:spacing w:after="240"/>
      </w:pPr>
    </w:p>
    <w:p>
      <w:pPr>
        <w:pStyle w:val="Heading1"/>
        <w:spacing w:before="360" w:after="160"/>
      </w:pPr>
      <w:r>
        <w:rPr>
          <w:rFonts w:ascii="Calibri" w:hAnsi="Calibri"/>
          <w:color w:val="0F172A"/>
          <w:sz w:val="32"/>
        </w:rPr>
        <w:t>12. PREGUNTAS FRECUENTES Y SOPORTE TÉCNICO</w:t>
      </w:r>
    </w:p>
    <w:p>
      <w:pPr>
        <w:spacing w:after="80"/>
      </w:pPr>
      <w:r>
        <w:rPr>
          <w:b/>
          <w:color w:val="0F172A"/>
          <w:sz w:val="20"/>
        </w:rPr>
        <w:t>Q: ¿Qué hacer si un alumno olvida su contraseña?</w:t>
        <w:br/>
      </w:r>
      <w:r>
        <w:rPr>
          <w:color w:val="475569"/>
          <w:sz w:val="19"/>
        </w:rPr>
        <w:t>R: El administrador debe entrar a la pestaña 'Gestión de Alumnos', buscar al estudiante en el catálogo, hacer clic en el ícono de llave 🔑 (Restablecer contraseña), escribir la nueva clave temporal y proporcionársela al padre de familia.</w:t>
      </w:r>
    </w:p>
    <w:p>
      <w:pPr>
        <w:spacing w:after="80"/>
      </w:pPr>
      <w:r>
        <w:rPr>
          <w:b/>
          <w:color w:val="0F172A"/>
          <w:sz w:val="20"/>
        </w:rPr>
        <w:t>Q: ¿Por qué no puedo presionar el botón de Migrar Ciclo Escolar?</w:t>
        <w:br/>
      </w:r>
      <w:r>
        <w:rPr>
          <w:color w:val="475569"/>
          <w:sz w:val="19"/>
        </w:rPr>
        <w:t>R: El botón de migración está protegido y solo se habilita a partir del mes de Julio de cada año, evitando migraciones accidentales a mitad del ciclo lectivo.</w:t>
      </w:r>
    </w:p>
    <w:p>
      <w:pPr>
        <w:spacing w:after="80"/>
      </w:pPr>
      <w:r>
        <w:rPr>
          <w:b/>
          <w:color w:val="0F172A"/>
          <w:sz w:val="20"/>
        </w:rPr>
        <w:t>Q: ¿Cuánto tiempo permanece la etiqueta de Nuevo Ingreso?</w:t>
        <w:br/>
      </w:r>
      <w:r>
        <w:rPr>
          <w:color w:val="475569"/>
          <w:sz w:val="19"/>
        </w:rPr>
        <w:t>R: Permanece activa exactamente durante una semana (7 días) a partir de la fecha de alta manual en el sistema. Cumplidos los 7 días, desaparece de forma automática.</w:t>
      </w:r>
    </w:p>
    <w:p>
      <w:pPr>
        <w:spacing w:after="80"/>
      </w:pPr>
      <w:r>
        <w:rPr>
          <w:b/>
          <w:color w:val="0F172A"/>
          <w:sz w:val="20"/>
        </w:rPr>
        <w:t>Q: ¿Por qué el supervisor no puede editar los pagos?</w:t>
        <w:br/>
      </w:r>
      <w:r>
        <w:rPr>
          <w:color w:val="475569"/>
          <w:sz w:val="19"/>
        </w:rPr>
        <w:t>R: El rol de Supervisor fue creado con fines exclusivos de auditoría y consulta para verificar plataformas Knotion, Tecnología y Lypro sin riesgo de alterar registros contables.</w:t>
      </w:r>
    </w:p>
    <w:p>
      <w:pPr>
        <w:spacing w:after="80"/>
      </w:pPr>
      <w:r>
        <w:rPr>
          <w:b/>
          <w:color w:val="0F172A"/>
          <w:sz w:val="20"/>
        </w:rPr>
        <w:t>Q: ¿Cómo cambiar entre grupos rápidamente en la matriz de pagos?</w:t>
        <w:br/>
      </w:r>
      <w:r>
        <w:rPr>
          <w:color w:val="475569"/>
          <w:sz w:val="19"/>
        </w:rPr>
        <w:t>R: Utilice los botones 'Anterior' y 'Siguiente' ubicados tanto en la parte superior como al pie de la tabla. La vista permanecerá fija en su lugar para permitir clics rápidos consecutivos.</w:t>
      </w:r>
    </w:p>
    <w:tbl>
      <w:tblPr>
        <w:tblW w:type="auto" w:w="0"/>
        <w:jc w:val="center"/>
        <w:tblLayout w:type="fixed"/>
        <w:tblLook w:firstColumn="1" w:firstRow="1" w:lastColumn="0" w:lastRow="0" w:noHBand="0" w:noVBand="1" w:val="04A0"/>
      </w:tblPr>
      <w:tblGrid>
        <w:gridCol w:w="9648"/>
      </w:tblGrid>
      <w:tr>
        <w:tc>
          <w:tcPr>
            <w:tcW w:type="dxa" w:w="9360"/>
            <w:shd w:fill="F8FAFC"/>
            <w:tcMar>
              <w:top w:w="160" w:type="dxa"/>
              <w:bottom w:w="160" w:type="dxa"/>
              <w:left w:w="200" w:type="dxa"/>
              <w:right w:w="200" w:type="dxa"/>
            </w:tcMar>
            <w:tcBorders>
              <w:top w:val="none"/>
              <w:bottom w:val="none"/>
              <w:right w:val="none"/>
              <w:left w:val="single" w:sz="24" w:space="0" w:color="64748B"/>
            </w:tcBorders>
          </w:tcPr>
          <w:p>
            <w:pPr>
              <w:spacing w:before="40" w:after="80"/>
            </w:pPr>
            <w:r>
              <w:rPr>
                <w:rFonts w:ascii="Calibri" w:hAnsi="Calibri"/>
                <w:b/>
                <w:color w:val="334155"/>
                <w:sz w:val="22"/>
              </w:rPr>
              <w:t>📌 Canal de Soporte Institucional</w:t>
              <w:br/>
            </w:r>
            <w:r>
              <w:rPr>
                <w:rFonts w:ascii="Calibri" w:hAnsi="Calibri"/>
                <w:color w:val="334155"/>
                <w:sz w:val="20"/>
              </w:rPr>
              <w:t>Para solicitudes de soporte técnico, asignación de cuentas administrativas o dudas sobre la conciliación bancaria, comuníquese con el Departamento de TI y Administración del Colegio Mexicano.</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