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Résumé des comptes rendus du conseil municipal</w:t>
      </w:r>
    </w:p>
    <w:p>
      <w:r>
        <w:t>Commune de Pierrefonds — Synthèse des délibérations et débats (juin 2024 – novembre 2025)</w:t>
      </w:r>
    </w:p>
    <w:p/>
    <w:p>
      <w:pPr>
        <w:pStyle w:val="Heading1"/>
      </w:pPr>
      <w:r>
        <w:t>1. Période et cadre des séances</w:t>
      </w:r>
    </w:p>
    <w:p>
      <w:r>
        <w:t>Les comptes rendus couvrent les séances du conseil municipal de juin 2024 à novembre 2025. Les séances se tiennent en mairie sous la présidence de Mme Florence DEMOUY, maire. Les délibérations portent sur des décisions prises en séance ou par délégation au maire (DM). Les thèmes récurrents sont les finances, l’enfance et la vie scolaire, les travaux et la voirie, l’intercommunalité, le personnel et les associations.</w:t>
      </w:r>
    </w:p>
    <w:p>
      <w:pPr>
        <w:pStyle w:val="Heading1"/>
      </w:pPr>
      <w:r>
        <w:t>2. Finances et budget</w:t>
      </w:r>
    </w:p>
    <w:p>
      <w:r>
        <w:t>Plusieurs décisions budgétaires modificatives (DBM) sont adoptées pour ajuster les crédits (rue de l’Armistice, provisions, régularisations). Le compte financier unique (CFU) 2024 est approuvé ; l’affectation des résultats et le budget primitif 2025 sont votés (section fonctionnement environ 1,58 M€, investissement environ 1,48 M€). Les taux d’imposition 2025 sont fixés (taxe foncière bâties 40,92 %, non bâties 43,95 %, taxe d’habitation 9,97 % pour les résidences secondaires). Des provisions sont constituées (ex. créance La Pétrifontaine 648 €). Des admissions en non-valeur sont prononcées pour créances irrécouvrables. Les redevances d’occupation du domaine public (RODP télécom, électricité, chantiers provisoires) sont fixées chaque année. Une tarification annuelle (emprises commerciales, marché, Foyer Napoléon, cimetière, bibliothèque, etc.) est votée et reconduite (gratuité bibliothèque pour les moins de 18 ans). La participation à la prévoyance et à la protection sociale complémentaire des agents (labellisation) est mise en place ou ajustée.</w:t>
      </w:r>
    </w:p>
    <w:p>
      <w:pPr>
        <w:pStyle w:val="Heading1"/>
      </w:pPr>
      <w:r>
        <w:t>3. Enfance, scolaire et périscolaire</w:t>
      </w:r>
    </w:p>
    <w:p>
      <w:r>
        <w:t>L’organisation du temps scolaire en 4 jours est reconduite (dérogation triennale). Les tarifs de la restauration scolaire, du périscolaire (matin/soir) et des accueils de loisirs sont fixés selon le quotient familial CAF et révisés chaque année (repas cantine, goûter, majoration en cas d’inscription tardive). La participation des communes de résidence pour les enfants accueillis en classe ULIS est fixée (350 € puis 700 € par élève). Le marché de fourniture de repas est attribué à Dupont Restauration (repas unitaire 2,82 € HT). Des contrats d’engagement éducatif (CEE) sont créés pour les accueils de loisirs (animateurs, directeurs). La commune participe au financement d’une classe découverte (CP, thème cirque). Des questions récurrentes portent sur les impayés cantine et le suivi des familles en difficulté.</w:t>
      </w:r>
    </w:p>
    <w:p>
      <w:pPr>
        <w:pStyle w:val="Heading1"/>
      </w:pPr>
      <w:r>
        <w:t>4. Travaux, voirie et aménagements</w:t>
      </w:r>
    </w:p>
    <w:p>
      <w:r>
        <w:t>Les travaux de la rue de l’Armistice (RD 973) sont menés en trois phases : phase 1 (camping – Clos Saint-Ladre) achevée, phase 2 (trottoirs jusqu’à la sente de la Sautelle) partiellement réalisée avec décalage, phase 3 (sente de la Sautelle – carrefour Zwingenberg) programmée (mini-giratoire, trottoirs, potelets PMR). Le coût phase 3 est estimé à environ 344 k€ HT, avec subventions État (DETR), Conseil départemental et Région (FAPL). Une place de dépôt ONF en forêt avec emprise sur chemin communal est autorisée. La réhabilitation de la fontaine place de l’hôtel de ville est engagée (devis Hydrogénie, végétalisation, bacs, candélabres) ; l’ABF est saisi. Les aménagements de la place (bacs composite, bancs) font débat (esthétique, cohérence patrimoniale). Le giratoire Zwingenberg est discuté (plantation d’arbre ou sculpture, essences, sécurité). La voie verte Pierrefonds–Palesne est évoquée (liaison mobilité douce vers Compiègne et Villers-Cotterêts). Une amende administrative pour dépôts sauvages est instaurée (barème selon volume). Zone bleue et stationnement sont évoqués.</w:t>
      </w:r>
    </w:p>
    <w:p>
      <w:pPr>
        <w:pStyle w:val="Heading1"/>
      </w:pPr>
      <w:r>
        <w:t>5. Intercommunalité</w:t>
      </w:r>
    </w:p>
    <w:p>
      <w:r>
        <w:t>La commune adhère au groupement d’achat d’énergies coordonné par le SE60 (Syndicat d’énergie de l’Oise). Elle approuve l’adhésion de Montmartin au SIVOC Atelier musical de l’Oise. Les rapports sur le prix et la qualité des services (RPQS) eau potable, assainissement collectif et non collectif, déchets – CCLO – sont présentés. La dissolution du SMIOCE et les écritures comptables associées donnent lieu à une DBM. La commune est actionnaire de la SPL ADTO-SAO ; le rapport d’observations définitives de la Chambre régionale des comptes (exercices 2018–2023) est présenté et pris en compte (rappel au droit sur les statuts, recommandations sur le contrôle et le pilotage). Le rapport annuel ADTO-SAO est approuvé.</w:t>
      </w:r>
    </w:p>
    <w:p>
      <w:pPr>
        <w:pStyle w:val="Heading1"/>
      </w:pPr>
      <w:r>
        <w:t>6. Patrimoine, tourisme et vie locale</w:t>
      </w:r>
    </w:p>
    <w:p>
      <w:r>
        <w:t>Une convention avec le CMN (Centre des monuments nationaux) prévoit un petit train touristique desservant le château (30 % des recettes reversés à la commune) ; le parcours est modifié (départ derrière la mairie, passage rue Sabatier, sœur Aurélie, bois d’Haucourt, gare, château). Le kiosque MEDIAKIOSK fait l’objet d’une convention (affichage, pas de commerce de presse, casiers vélos/motos envisagés). La cérémonie des vœux a lieu au château. Le dossier du Commerce (incendie 07/08/2023, SNC Le tabac du château, SCI Les Coquelicots) est suivi : conflit propriétaire–exploitants, permis de construire, ERP ; la mairie indique accompagner sans pouvoir trancher un litige privé. Un festival de musique est organisé par l’association L’Enceinte au stade et parc du château ; des retours sur les nuisances sonores et le lieu sont discutés, ainsi que le prêt de véhicules municipaux aux associations.</w:t>
      </w:r>
    </w:p>
    <w:p>
      <w:pPr>
        <w:pStyle w:val="Heading1"/>
      </w:pPr>
      <w:r>
        <w:t>7. Affaires générales et cadre de vie</w:t>
      </w:r>
    </w:p>
    <w:p>
      <w:r>
        <w:t>L’Association foncière de Pierrefonds est dissoute ; les équipements issus du remembrement sont incorporés au patrimoine communal. Une convention avec l’association Cats in The Air 2016 est signée pour la gestion des chats errants (capture, stérilisation, identification, relâcher) avec participation aux frais vétérinaires (plafond 1 000 €). Adhésion au CAUE 60 pour l’accompagnement des projets (cour d’école, budget participatif). Convention de partenariat avec l’Institut Charles Quentin (Saint-Louis Poissy) pour l’entretien à visée pédagogique d’espaces publics ; subvention 400 €. Cession de bail rural (famille Beguin), concessions funéraires, convention SIVOC ancienne PMI, location place de dépôt ONF pour travaux rue Armistice. Désherbeur cédé à l’association Un château pour l’Emploi. Renouvellement contrat Illiwap, logiciels métiers (JVS MAIRISTEM).</w:t>
      </w:r>
    </w:p>
    <w:p>
      <w:pPr>
        <w:pStyle w:val="Heading1"/>
      </w:pPr>
      <w:r>
        <w:t>8. Personnel et organisation</w:t>
      </w:r>
    </w:p>
    <w:p>
      <w:r>
        <w:t>Autorisations spéciales d’absence pour événements familiaux et de la vie courante (mariage, décès, garde d’enfant malade, déménagement, concours, rentrée scolaire, etc.) sont fixées après avis du comité social territorial. Création de postes vacataires (animation, technique) et d’emplois permanents (adjoints techniques 30 h et 22 h). Participation au financement de la protection sociale complémentaire (prévoyance, santé) dans le cadre de la labellisation. Adhésion au contrat d’assurance des risques statutaires du CDG 60. Cartes cadeaux pour les enfants du personnel à Noël (50 €).</w:t>
      </w:r>
    </w:p>
    <w:p>
      <w:pPr>
        <w:pStyle w:val="Heading1"/>
      </w:pPr>
      <w:r>
        <w:t>9. Subventions aux associations</w:t>
      </w:r>
    </w:p>
    <w:p>
      <w:r>
        <w:t>Les subventions annuelles sont votées (UNC, Bols d’air, Compagnie d’arc, Coopérative scolaire, Amis des Petites Bouilles, Festival des forêts, L’Enceinte, Amitié Loisirs Ainés, Judo, APE, Comité des Fêtes, Vital’Marche, P.E.P.I.T.E.S., Sauvegarde du patrimoine des forêts du Compiégnois, etc.). Les montants et critères (animation locale, ouverture au public) donnent lieu à des débats et parfois des abstentions ou votes contre (Festival des forêts, L’Enceinte, P.E.P.I.T.E.S.).</w:t>
      </w:r>
    </w:p>
    <w:p>
      <w:pPr>
        <w:pStyle w:val="Heading1"/>
      </w:pPr>
      <w:r>
        <w:t>10. Débats et questions diverses</w:t>
      </w:r>
    </w:p>
    <w:p>
      <w:r>
        <w:t>Plusieurs sujets reviennent en séance : coût réel de la zone bleue (main-d’œuvre, matériel), publication des comptes rendus (Illiwap), tribunes dans le journal municipal, demandes de « questions diverses » en fin de conseil. Des tensions apparaissent entre majorité et opposition (départs de séance, votes contre ou abstentions). Des précisions sont demandées sur la vidéoprotection, les atteintes aux biens, le plan communal de sauvegarde, la rénovation énergétique des bâtiments, l’eau et les investissements CCLO, les conventions de servitude, la santé et le remplacement du médecin. Le procès-verbal est enregistré ; les convocations et ordres du jour respectent le règlement intérieur.</w:t>
      </w:r>
    </w:p>
    <w:p/>
    <w:p>
      <w:pPr>
        <w:jc w:val="center"/>
      </w:pPr>
      <w:r>
        <w:t>— Document de synthèse établi à partir des comptes rendus du conseil municipal de Pierrefonds (base vectorielle et PDF).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