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200" w:before="0"/>
        <w:jc w:val="center"/>
      </w:pPr>
      <w:r>
        <w:rPr>
          <w:rFonts w:ascii="Arial" w:cs="Arial" w:eastAsia="Arial" w:hAnsi="Arial"/>
          <w:b/>
          <w:bCs/>
          <w:color w:val="2E7D32"/>
          <w:sz w:val="52"/>
          <w:szCs w:val="52"/>
        </w:rPr>
        <w:t xml:space="preserve">Foncier Agricole Urbain</w:t>
      </w:r>
    </w:p>
    <w:p>
      <w:pPr>
        <w:spacing w:after="400" w:before="0"/>
        <w:jc w:val="center"/>
      </w:pPr>
      <w:r>
        <w:rPr>
          <w:rFonts w:ascii="Arial" w:cs="Arial" w:eastAsia="Arial" w:hAnsi="Arial"/>
          <w:color w:val="757575"/>
          <w:sz w:val="32"/>
          <w:szCs w:val="32"/>
        </w:rPr>
        <w:t xml:space="preserve">Note méthodologique</w:t>
      </w:r>
    </w:p>
    <w:p>
      <w:pPr>
        <w:pBdr>
          <w:top w:val="single" w:color="C8E6C9" w:sz="4" w:space="4"/>
          <w:bottom w:val="single" w:color="C8E6C9" w:sz="4" w:space="4"/>
        </w:pBdr>
        <w:spacing w:after="160" w:before="160"/>
        <w:jc w:val="center"/>
      </w:pPr>
      <w:r>
        <w:rPr>
          <w:rFonts w:ascii="Arial" w:cs="Arial" w:eastAsia="Arial" w:hAnsi="Arial"/>
          <w:i/>
          <w:iCs/>
          <w:color w:val="424242"/>
          <w:sz w:val="26"/>
          <w:szCs w:val="26"/>
        </w:rPr>
        <w:t xml:space="preserve">Outil de diagnostic préventif pour l'agriculture urbaine</w:t>
      </w:r>
    </w:p>
    <w:p>
      <w:pPr>
        <w:spacing w:after="0" w:before="400"/>
      </w:pPr>
      <w:r>
        <w:t xml:space="preserve"/>
      </w:r>
    </w:p>
    <w:p>
      <w:pPr>
        <w:jc w:val="center"/>
      </w:pPr>
      <w:r>
        <w:rPr>
          <w:rFonts w:ascii="Arial" w:cs="Arial" w:eastAsia="Arial" w:hAnsi="Arial"/>
          <w:color w:val="757575"/>
          <w:sz w:val="22"/>
          <w:szCs w:val="22"/>
        </w:rPr>
        <w:t xml:space="preserve">Version 2 — Avril 2026</w:t>
      </w:r>
    </w:p>
    <w:p>
      <w:pPr>
        <w:spacing w:after="0" w:before="80"/>
        <w:jc w:val="center"/>
      </w:pPr>
      <w:r>
        <w:rPr>
          <w:rFonts w:ascii="Arial" w:cs="Arial" w:eastAsia="Arial" w:hAnsi="Arial"/>
          <w:i/>
          <w:iCs/>
          <w:color w:val="757575"/>
          <w:sz w:val="20"/>
          <w:szCs w:val="20"/>
        </w:rPr>
        <w:t xml:space="preserve">Données publiques françaises · Diagnostic indicatif</w:t>
      </w:r>
    </w:p>
    <w:p>
      <w:pPr>
        <w:spacing w:after="0" w:before="0"/>
      </w:pPr>
      <w:r>
        <w:br w:type="page"/>
      </w:r>
    </w:p>
    <w:p>
      <w:pPr>
        <w:pStyle w:val="Heading1"/>
        <w:spacing w:after="200" w:before="400"/>
      </w:pPr>
      <w:r>
        <w:rPr>
          <w:rFonts w:ascii="Arial" w:cs="Arial" w:eastAsia="Arial" w:hAnsi="Arial"/>
          <w:b/>
          <w:bCs/>
          <w:color w:val="1A1A1A"/>
          <w:sz w:val="36"/>
          <w:szCs w:val="36"/>
        </w:rPr>
        <w:t xml:space="preserve">1. Présentation de l'outil</w:t>
      </w:r>
    </w:p>
    <w:p>
      <w:pPr>
        <w:spacing w:after="120" w:before="80"/>
        <w:jc w:val="both"/>
      </w:pPr>
      <w:r>
        <w:rPr>
          <w:rFonts w:ascii="Arial" w:cs="Arial" w:eastAsia="Arial" w:hAnsi="Arial"/>
          <w:b w:val="false"/>
          <w:bCs w:val="false"/>
          <w:i w:val="false"/>
          <w:iCs w:val="false"/>
          <w:color w:val="424242"/>
          <w:sz w:val="22"/>
          <w:szCs w:val="22"/>
        </w:rPr>
        <w:t xml:space="preserve">Foncier Agricole Urbain est un outil de diagnostic préventif destiné aux porteurs de projets d'agriculture urbaine, aux collectivités et aux bureaux d'études. Il permet d'évaluer rapidement la viabilité potentielle d'un site sans engager des études préliminaires coûteuses.</w:t>
      </w:r>
    </w:p>
    <w:p>
      <w:pPr>
        <w:spacing w:after="120" w:before="80"/>
        <w:jc w:val="both"/>
      </w:pPr>
      <w:r>
        <w:rPr>
          <w:rFonts w:ascii="Arial" w:cs="Arial" w:eastAsia="Arial" w:hAnsi="Arial"/>
          <w:b w:val="false"/>
          <w:bCs w:val="false"/>
          <w:i w:val="false"/>
          <w:iCs w:val="false"/>
          <w:color w:val="424242"/>
          <w:sz w:val="22"/>
          <w:szCs w:val="22"/>
        </w:rPr>
        <w:t xml:space="preserve">L'outil croise automatiquement six sources de données publiques françaises pour produire, en quelques secondes et pour tout point du territoire, une recommandation par type de projet agricole urbain.</w:t>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1.1 Objectif</w:t>
      </w:r>
    </w:p>
    <w:p>
      <w:pPr>
        <w:spacing w:after="120" w:before="80"/>
        <w:jc w:val="both"/>
      </w:pPr>
      <w:r>
        <w:rPr>
          <w:rFonts w:ascii="Arial" w:cs="Arial" w:eastAsia="Arial" w:hAnsi="Arial"/>
          <w:b w:val="false"/>
          <w:bCs w:val="false"/>
          <w:i w:val="false"/>
          <w:iCs w:val="false"/>
          <w:color w:val="424242"/>
          <w:sz w:val="22"/>
          <w:szCs w:val="22"/>
        </w:rPr>
        <w:t xml:space="preserve">L'objectif est de permettre à un porteur de projet de savoir immédiatement, avant toute visite de terrain ou commande d'études :</w:t>
      </w:r>
    </w:p>
    <w:p>
      <w:pPr>
        <w:pStyle w:val="ListParagraph"/>
        <w:numPr>
          <w:ilvl w:val="0"/>
          <w:numId w:val="2"/>
        </w:numPr>
        <w:spacing w:after="60" w:before="60"/>
      </w:pPr>
      <w:r>
        <w:rPr>
          <w:rFonts w:ascii="Arial" w:cs="Arial" w:eastAsia="Arial" w:hAnsi="Arial"/>
          <w:color w:val="424242"/>
          <w:sz w:val="22"/>
          <w:szCs w:val="22"/>
        </w:rPr>
        <w:t xml:space="preserve">Si le sol présente des risques de pollution incompatibles avec certains usages</w:t>
      </w:r>
    </w:p>
    <w:p>
      <w:pPr>
        <w:pStyle w:val="ListParagraph"/>
        <w:numPr>
          <w:ilvl w:val="0"/>
          <w:numId w:val="2"/>
        </w:numPr>
        <w:spacing w:after="60" w:before="60"/>
      </w:pPr>
      <w:r>
        <w:rPr>
          <w:rFonts w:ascii="Arial" w:cs="Arial" w:eastAsia="Arial" w:hAnsi="Arial"/>
          <w:color w:val="424242"/>
          <w:sz w:val="22"/>
          <w:szCs w:val="22"/>
        </w:rPr>
        <w:t xml:space="preserve">Quel niveau d'ensoleillement est disponible sur le site</w:t>
      </w:r>
    </w:p>
    <w:p>
      <w:pPr>
        <w:pStyle w:val="ListParagraph"/>
        <w:numPr>
          <w:ilvl w:val="0"/>
          <w:numId w:val="2"/>
        </w:numPr>
        <w:spacing w:after="60" w:before="60"/>
      </w:pPr>
      <w:r>
        <w:rPr>
          <w:rFonts w:ascii="Arial" w:cs="Arial" w:eastAsia="Arial" w:hAnsi="Arial"/>
          <w:color w:val="424242"/>
          <w:sz w:val="22"/>
          <w:szCs w:val="22"/>
        </w:rPr>
        <w:t xml:space="preserve">Si un réseau de chaleur est accessible à proximité (critique pour les serres)</w:t>
      </w:r>
    </w:p>
    <w:p>
      <w:pPr>
        <w:pStyle w:val="ListParagraph"/>
        <w:numPr>
          <w:ilvl w:val="0"/>
          <w:numId w:val="2"/>
        </w:numPr>
        <w:spacing w:after="60" w:before="60"/>
      </w:pPr>
      <w:r>
        <w:rPr>
          <w:rFonts w:ascii="Arial" w:cs="Arial" w:eastAsia="Arial" w:hAnsi="Arial"/>
          <w:color w:val="424242"/>
          <w:sz w:val="22"/>
          <w:szCs w:val="22"/>
        </w:rPr>
        <w:t xml:space="preserve">Quel est le zonage PLU applicable et s'il est compatible</w:t>
      </w:r>
    </w:p>
    <w:p>
      <w:pPr>
        <w:pStyle w:val="ListParagraph"/>
        <w:numPr>
          <w:ilvl w:val="0"/>
          <w:numId w:val="2"/>
        </w:numPr>
        <w:spacing w:after="60" w:before="60"/>
      </w:pPr>
      <w:r>
        <w:rPr>
          <w:rFonts w:ascii="Arial" w:cs="Arial" w:eastAsia="Arial" w:hAnsi="Arial"/>
          <w:color w:val="424242"/>
          <w:sz w:val="22"/>
          <w:szCs w:val="22"/>
        </w:rPr>
        <w:t xml:space="preserve">Quel est le niveau de prix foncier local</w:t>
      </w:r>
    </w:p>
    <w:p>
      <w:pPr>
        <w:pStyle w:val="ListParagraph"/>
        <w:numPr>
          <w:ilvl w:val="0"/>
          <w:numId w:val="2"/>
        </w:numPr>
        <w:spacing w:after="60" w:before="60"/>
      </w:pPr>
      <w:r>
        <w:rPr>
          <w:rFonts w:ascii="Arial" w:cs="Arial" w:eastAsia="Arial" w:hAnsi="Arial"/>
          <w:color w:val="424242"/>
          <w:sz w:val="22"/>
          <w:szCs w:val="22"/>
        </w:rPr>
        <w:t xml:space="preserve">Quelle pluviométrie annuelle attendre</w:t>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1.2 Ce que l'outil n'est 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160"/>
              <w:bottom w:type="dxa" w:w="120"/>
              <w:right w:type="dxa" w:w="160"/>
            </w:tcMar>
          </w:tcPr>
          <w:p>
            <w:pPr>
              <w:spacing w:after="0" w:before="0"/>
            </w:pPr>
            <w:r>
              <w:rPr>
                <w:rFonts w:ascii="Arial" w:cs="Arial" w:eastAsia="Arial" w:hAnsi="Arial"/>
                <w:i/>
                <w:iCs/>
                <w:color w:val="424242"/>
                <w:sz w:val="20"/>
                <w:szCs w:val="20"/>
              </w:rPr>
              <w:t xml:space="preserve">⚠ Ce diagnostic est indicatif. Il ne remplace pas une étude pédologique, une consultation du service urbanisme compétent, ou un avis d'expert. Les données utilisées sont publiques et peuvent avoir évolué depuis leur dernière mise à jour.</w:t>
            </w:r>
          </w:p>
        </w:tc>
      </w:tr>
    </w:tbl>
    <w:p>
      <w:pPr>
        <w:spacing w:after="120" w:before="0"/>
      </w:pPr>
      <w:r>
        <w:t xml:space="preserve"/>
      </w:r>
    </w:p>
    <w:p>
      <w:pPr>
        <w:spacing w:after="0" w:before="0"/>
      </w:pPr>
      <w:r>
        <w:br w:type="page"/>
      </w:r>
    </w:p>
    <w:p>
      <w:pPr>
        <w:pStyle w:val="Heading1"/>
        <w:spacing w:after="200" w:before="400"/>
      </w:pPr>
      <w:r>
        <w:rPr>
          <w:rFonts w:ascii="Arial" w:cs="Arial" w:eastAsia="Arial" w:hAnsi="Arial"/>
          <w:b/>
          <w:bCs/>
          <w:color w:val="1A1A1A"/>
          <w:sz w:val="36"/>
          <w:szCs w:val="36"/>
        </w:rPr>
        <w:t xml:space="preserve">2. Sources de données</w:t>
      </w:r>
    </w:p>
    <w:p>
      <w:pPr>
        <w:spacing w:after="120" w:before="80"/>
        <w:jc w:val="both"/>
      </w:pPr>
      <w:r>
        <w:rPr>
          <w:rFonts w:ascii="Arial" w:cs="Arial" w:eastAsia="Arial" w:hAnsi="Arial"/>
          <w:b w:val="false"/>
          <w:bCs w:val="false"/>
          <w:i w:val="false"/>
          <w:iCs w:val="false"/>
          <w:color w:val="424242"/>
          <w:sz w:val="22"/>
          <w:szCs w:val="22"/>
        </w:rPr>
        <w:t xml:space="preserve">L'outil s'appuie exclusivement sur des données publiques françaises, disponibles gratuitement et sans inscription (sauf mention contraire).</w:t>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2.1 Pollution des sols — Géorisques SSP/CASIAS</w:t>
      </w:r>
    </w:p>
    <w:p>
      <w:pPr>
        <w:spacing w:after="120" w:before="80"/>
        <w:jc w:val="both"/>
      </w:pPr>
      <w:r>
        <w:rPr>
          <w:rFonts w:ascii="Arial" w:cs="Arial" w:eastAsia="Arial" w:hAnsi="Arial"/>
          <w:b w:val="false"/>
          <w:bCs w:val="false"/>
          <w:i/>
          <w:iCs/>
          <w:color w:val="424242"/>
          <w:sz w:val="22"/>
          <w:szCs w:val="22"/>
        </w:rPr>
        <w:t xml:space="preserve">Source : Ministère de la Transition Écologique via Géorisques</w:t>
      </w:r>
    </w:p>
    <w:p>
      <w:pPr>
        <w:spacing w:after="120" w:before="80"/>
        <w:jc w:val="both"/>
      </w:pPr>
      <w:r>
        <w:rPr>
          <w:rFonts w:ascii="Arial" w:cs="Arial" w:eastAsia="Arial" w:hAnsi="Arial"/>
          <w:b w:val="false"/>
          <w:bCs w:val="false"/>
          <w:i w:val="false"/>
          <w:iCs w:val="false"/>
          <w:color w:val="424242"/>
          <w:sz w:val="22"/>
          <w:szCs w:val="22"/>
        </w:rPr>
        <w:t xml:space="preserve">L'API SSP CASIAS (Sites et Sols Pollués / Cartographie des Anciens Sites Industriels et Activités de Services) recense les anciens sites industriels et activités potentiellement polluantes sur le territoire français. Pour chaque site, on dispose du nom de l'établissement, de l'activité principale, du statut de dépollution et de la géométrie (polygone ou point) du site.</w:t>
      </w:r>
    </w:p>
    <w:p>
      <w:pPr>
        <w:spacing w:after="120" w:before="80"/>
        <w:jc w:val="both"/>
      </w:pPr>
      <w:r>
        <w:rPr>
          <w:rFonts w:ascii="Arial" w:cs="Arial" w:eastAsia="Arial" w:hAnsi="Arial"/>
          <w:b w:val="false"/>
          <w:bCs w:val="false"/>
          <w:i w:val="false"/>
          <w:iCs w:val="false"/>
          <w:color w:val="424242"/>
          <w:sz w:val="22"/>
          <w:szCs w:val="22"/>
        </w:rPr>
        <w:t xml:space="preserve">URL de l'API : https://www.georisques.gouv.fr/api/v1/ssp/casias</w:t>
      </w:r>
    </w:p>
    <w:p>
      <w:pPr>
        <w:spacing w:after="120" w:before="80"/>
        <w:jc w:val="both"/>
      </w:pPr>
      <w:r>
        <w:rPr>
          <w:rFonts w:ascii="Arial" w:cs="Arial" w:eastAsia="Arial" w:hAnsi="Arial"/>
          <w:b w:val="false"/>
          <w:bCs w:val="false"/>
          <w:i w:val="false"/>
          <w:iCs w:val="false"/>
          <w:color w:val="424242"/>
          <w:sz w:val="22"/>
          <w:szCs w:val="22"/>
        </w:rPr>
        <w:t xml:space="preserve">Paramètres utilisés : coordonnées géographiques (longitude, latitude) au format EPSG:4326, rayon de recherche de 2 000 mètres.</w:t>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2.2 Ensoleillement — PVGIS / JRC</w:t>
      </w:r>
    </w:p>
    <w:p>
      <w:pPr>
        <w:spacing w:after="120" w:before="80"/>
        <w:jc w:val="both"/>
      </w:pPr>
      <w:r>
        <w:rPr>
          <w:rFonts w:ascii="Arial" w:cs="Arial" w:eastAsia="Arial" w:hAnsi="Arial"/>
          <w:b w:val="false"/>
          <w:bCs w:val="false"/>
          <w:i/>
          <w:iCs/>
          <w:color w:val="424242"/>
          <w:sz w:val="22"/>
          <w:szCs w:val="22"/>
        </w:rPr>
        <w:t xml:space="preserve">Source : Joint Research Centre (JRC), Commission Européenne</w:t>
      </w:r>
    </w:p>
    <w:p>
      <w:pPr>
        <w:spacing w:after="120" w:before="80"/>
        <w:jc w:val="both"/>
      </w:pPr>
      <w:r>
        <w:rPr>
          <w:rFonts w:ascii="Arial" w:cs="Arial" w:eastAsia="Arial" w:hAnsi="Arial"/>
          <w:b w:val="false"/>
          <w:bCs w:val="false"/>
          <w:i w:val="false"/>
          <w:iCs w:val="false"/>
          <w:color w:val="424242"/>
          <w:sz w:val="22"/>
          <w:szCs w:val="22"/>
        </w:rPr>
        <w:t xml:space="preserve">L'API PVGIS (Photovoltaic Geographical Information System) version 5.2 calcule l'irradiation solaire annuelle en kWh/m²/an pour tout point des territoires européens. Les données sont issues de mesures satellitaires et intègrent les conditions atmosphériques locales (turbidité, albédo).</w:t>
      </w:r>
    </w:p>
    <w:p>
      <w:pPr>
        <w:spacing w:after="120" w:before="80"/>
        <w:jc w:val="both"/>
      </w:pPr>
      <w:r>
        <w:rPr>
          <w:rFonts w:ascii="Arial" w:cs="Arial" w:eastAsia="Arial" w:hAnsi="Arial"/>
          <w:b w:val="false"/>
          <w:bCs w:val="false"/>
          <w:i w:val="false"/>
          <w:iCs w:val="false"/>
          <w:color w:val="424242"/>
          <w:sz w:val="22"/>
          <w:szCs w:val="22"/>
        </w:rPr>
        <w:t xml:space="preserve">URL de l'API : https://re.jrc.ec.europa.eu/api/v5_2/PVcalc</w:t>
      </w:r>
    </w:p>
    <w:p>
      <w:pPr>
        <w:spacing w:after="120" w:before="80"/>
        <w:jc w:val="both"/>
      </w:pPr>
      <w:r>
        <w:rPr>
          <w:rFonts w:ascii="Arial" w:cs="Arial" w:eastAsia="Arial" w:hAnsi="Arial"/>
          <w:b w:val="false"/>
          <w:bCs w:val="false"/>
          <w:i w:val="false"/>
          <w:iCs w:val="false"/>
          <w:color w:val="424242"/>
          <w:sz w:val="22"/>
          <w:szCs w:val="22"/>
        </w:rPr>
        <w:t xml:space="preserve">Le champ utilisé est E_y (production annuelle en kWh pour une installation de 1 kWc), qui constitue un proxy direct de l'irradiation annuelle sur plan incliné optimal.</w:t>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2.3 Réseaux de chaleur — SNCU/CEREMA</w:t>
      </w:r>
    </w:p>
    <w:p>
      <w:pPr>
        <w:spacing w:after="120" w:before="80"/>
        <w:jc w:val="both"/>
      </w:pPr>
      <w:r>
        <w:rPr>
          <w:rFonts w:ascii="Arial" w:cs="Arial" w:eastAsia="Arial" w:hAnsi="Arial"/>
          <w:b w:val="false"/>
          <w:bCs w:val="false"/>
          <w:i/>
          <w:iCs/>
          <w:color w:val="424242"/>
          <w:sz w:val="22"/>
          <w:szCs w:val="22"/>
        </w:rPr>
        <w:t xml:space="preserve">Source : Syndicat National du Chauffage Urbain (SNCU) et CEREMA via data.gouv.fr</w:t>
      </w:r>
    </w:p>
    <w:p>
      <w:pPr>
        <w:spacing w:after="120" w:before="80"/>
        <w:jc w:val="both"/>
      </w:pPr>
      <w:r>
        <w:rPr>
          <w:rFonts w:ascii="Arial" w:cs="Arial" w:eastAsia="Arial" w:hAnsi="Arial"/>
          <w:b w:val="false"/>
          <w:bCs w:val="false"/>
          <w:i w:val="false"/>
          <w:iCs w:val="false"/>
          <w:color w:val="424242"/>
          <w:sz w:val="22"/>
          <w:szCs w:val="22"/>
        </w:rPr>
        <w:t xml:space="preserve">Le fichier GeoJSON national des réseaux de chaleur et de froid recense 976 réseaux en France métropolitaine avec leurs caractéristiques (puissance, énergie principale, gestionnaire) et leur localisation géographique. Ce fichier est téléchargé une fois au démarrage du serveur et mis en cache mémoire.</w:t>
      </w:r>
    </w:p>
    <w:p>
      <w:pPr>
        <w:spacing w:after="120" w:before="80"/>
        <w:jc w:val="both"/>
      </w:pPr>
      <w:r>
        <w:rPr>
          <w:rFonts w:ascii="Arial" w:cs="Arial" w:eastAsia="Arial" w:hAnsi="Arial"/>
          <w:b w:val="false"/>
          <w:bCs w:val="false"/>
          <w:i w:val="false"/>
          <w:iCs w:val="false"/>
          <w:color w:val="424242"/>
          <w:sz w:val="22"/>
          <w:szCs w:val="22"/>
        </w:rPr>
        <w:t xml:space="preserve">URL : https://www.data.gouv.fr/fr/datasets/traces-des-reseaux-de-chaleur-et-de-froid/</w:t>
      </w:r>
    </w:p>
    <w:p>
      <w:pPr>
        <w:spacing w:after="120" w:before="80"/>
        <w:jc w:val="both"/>
      </w:pPr>
      <w:r>
        <w:rPr>
          <w:rFonts w:ascii="Arial" w:cs="Arial" w:eastAsia="Arial" w:hAnsi="Arial"/>
          <w:b w:val="false"/>
          <w:bCs w:val="false"/>
          <w:i w:val="false"/>
          <w:iCs w:val="false"/>
          <w:color w:val="424242"/>
          <w:sz w:val="22"/>
          <w:szCs w:val="22"/>
        </w:rPr>
        <w:t xml:space="preserve">Note technique : les coordonnées originales sont en projection Lambert 93 (EPSG:2154) et sont automatiquement converties en WGS84 (EPSG:4326) au chargement via la bibliothèque pyproj.</w:t>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2.4 Zonage PLU — API Carto IGN</w:t>
      </w:r>
    </w:p>
    <w:p>
      <w:pPr>
        <w:spacing w:after="120" w:before="80"/>
        <w:jc w:val="both"/>
      </w:pPr>
      <w:r>
        <w:rPr>
          <w:rFonts w:ascii="Arial" w:cs="Arial" w:eastAsia="Arial" w:hAnsi="Arial"/>
          <w:b w:val="false"/>
          <w:bCs w:val="false"/>
          <w:i/>
          <w:iCs/>
          <w:color w:val="424242"/>
          <w:sz w:val="22"/>
          <w:szCs w:val="22"/>
        </w:rPr>
        <w:t xml:space="preserve">Source : Institut National de l'Information Géographique et Forestière (IGN) / Géoportail Urbanisme</w:t>
      </w:r>
    </w:p>
    <w:p>
      <w:pPr>
        <w:spacing w:after="120" w:before="80"/>
        <w:jc w:val="both"/>
      </w:pPr>
      <w:r>
        <w:rPr>
          <w:rFonts w:ascii="Arial" w:cs="Arial" w:eastAsia="Arial" w:hAnsi="Arial"/>
          <w:b w:val="false"/>
          <w:bCs w:val="false"/>
          <w:i w:val="false"/>
          <w:iCs w:val="false"/>
          <w:color w:val="424242"/>
          <w:sz w:val="22"/>
          <w:szCs w:val="22"/>
        </w:rPr>
        <w:t xml:space="preserve">L'API Carto IGN module Urbanisme interroge le Géoportail de l'Urbanisme (GPU) pour retourner le zonage PLU de la parcelle pointée. La réponse inclut le type de zone (U, AU, A, N et leurs subdivisions), le libellé long, l'identifiant du document d'urbanisme et l'URL du règlement PDF.</w:t>
      </w:r>
    </w:p>
    <w:p>
      <w:pPr>
        <w:spacing w:after="120" w:before="80"/>
        <w:jc w:val="both"/>
      </w:pPr>
      <w:r>
        <w:rPr>
          <w:rFonts w:ascii="Arial" w:cs="Arial" w:eastAsia="Arial" w:hAnsi="Arial"/>
          <w:b w:val="false"/>
          <w:bCs w:val="false"/>
          <w:i w:val="false"/>
          <w:iCs w:val="false"/>
          <w:color w:val="424242"/>
          <w:sz w:val="22"/>
          <w:szCs w:val="22"/>
        </w:rPr>
        <w:t xml:space="preserve">URL de l'API : https://apicarto.ign.fr/api/gpu/zone-urba</w:t>
      </w:r>
    </w:p>
    <w:p>
      <w:pPr>
        <w:spacing w:after="120" w:before="80"/>
        <w:jc w:val="both"/>
      </w:pPr>
      <w:r>
        <w:rPr>
          <w:rFonts w:ascii="Arial" w:cs="Arial" w:eastAsia="Arial" w:hAnsi="Arial"/>
          <w:b w:val="false"/>
          <w:bCs w:val="false"/>
          <w:i w:val="false"/>
          <w:iCs w:val="false"/>
          <w:color w:val="424242"/>
          <w:sz w:val="22"/>
          <w:szCs w:val="22"/>
        </w:rPr>
        <w:t xml:space="preserve">Paramètres : géométrie GeoJSON de type Point aux coordonnées cliquées.</w:t>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2.5 Pluviométrie — Open-Meteo</w:t>
      </w:r>
    </w:p>
    <w:p>
      <w:pPr>
        <w:spacing w:after="120" w:before="80"/>
        <w:jc w:val="both"/>
      </w:pPr>
      <w:r>
        <w:rPr>
          <w:rFonts w:ascii="Arial" w:cs="Arial" w:eastAsia="Arial" w:hAnsi="Arial"/>
          <w:b w:val="false"/>
          <w:bCs w:val="false"/>
          <w:i/>
          <w:iCs/>
          <w:color w:val="424242"/>
          <w:sz w:val="22"/>
          <w:szCs w:val="22"/>
        </w:rPr>
        <w:t xml:space="preserve">Source : Open-Meteo Archive (données ERA5 / Copernicus Climate Change Service)</w:t>
      </w:r>
    </w:p>
    <w:p>
      <w:pPr>
        <w:spacing w:after="120" w:before="80"/>
        <w:jc w:val="both"/>
      </w:pPr>
      <w:r>
        <w:rPr>
          <w:rFonts w:ascii="Arial" w:cs="Arial" w:eastAsia="Arial" w:hAnsi="Arial"/>
          <w:b w:val="false"/>
          <w:bCs w:val="false"/>
          <w:i w:val="false"/>
          <w:iCs w:val="false"/>
          <w:color w:val="424242"/>
          <w:sz w:val="22"/>
          <w:szCs w:val="22"/>
        </w:rPr>
        <w:t xml:space="preserve">L'API Open-Meteo Archive retourne les précipitations journalières historiques (en mm) pour toute localisation. L'outil calcule la moyenne annuelle sur la période 2018-2023 (6 ans) pour obtenir une valeur représentative de la normale climatique récente.</w:t>
      </w:r>
    </w:p>
    <w:p>
      <w:pPr>
        <w:spacing w:after="120" w:before="80"/>
        <w:jc w:val="both"/>
      </w:pPr>
      <w:r>
        <w:rPr>
          <w:rFonts w:ascii="Arial" w:cs="Arial" w:eastAsia="Arial" w:hAnsi="Arial"/>
          <w:b w:val="false"/>
          <w:bCs w:val="false"/>
          <w:i w:val="false"/>
          <w:iCs w:val="false"/>
          <w:color w:val="424242"/>
          <w:sz w:val="22"/>
          <w:szCs w:val="22"/>
        </w:rPr>
        <w:t xml:space="preserve">URL de l'API : https://archive-api.open-meteo.com/v1/archive</w:t>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2.6 Prix foncier — DVF / DGFiP</w:t>
      </w:r>
    </w:p>
    <w:p>
      <w:pPr>
        <w:spacing w:after="120" w:before="80"/>
        <w:jc w:val="both"/>
      </w:pPr>
      <w:r>
        <w:rPr>
          <w:rFonts w:ascii="Arial" w:cs="Arial" w:eastAsia="Arial" w:hAnsi="Arial"/>
          <w:b w:val="false"/>
          <w:bCs w:val="false"/>
          <w:i/>
          <w:iCs/>
          <w:color w:val="424242"/>
          <w:sz w:val="22"/>
          <w:szCs w:val="22"/>
        </w:rPr>
        <w:t xml:space="preserve">Source : Direction Générale des Finances Publiques (DGFiP) via data.gouv.fr</w:t>
      </w:r>
    </w:p>
    <w:p>
      <w:pPr>
        <w:spacing w:after="120" w:before="80"/>
        <w:jc w:val="both"/>
      </w:pPr>
      <w:r>
        <w:rPr>
          <w:rFonts w:ascii="Arial" w:cs="Arial" w:eastAsia="Arial" w:hAnsi="Arial"/>
          <w:b w:val="false"/>
          <w:bCs w:val="false"/>
          <w:i w:val="false"/>
          <w:iCs w:val="false"/>
          <w:color w:val="424242"/>
          <w:sz w:val="22"/>
          <w:szCs w:val="22"/>
        </w:rPr>
        <w:t xml:space="preserve">Les données DVF (Demandes de Valeurs Foncières) recensent toutes les transactions immobilières en France. L'outil utilise un fichier pré-traité couvrant les grandes agglomérations françaises (Paris et petite couronne, Lyon, Bordeaux, Lille, Nantes, Marseille, Toulouse, Strasbourg, Rennes, Nice — soit 2 699 communes).</w:t>
      </w:r>
    </w:p>
    <w:p>
      <w:pPr>
        <w:spacing w:after="120" w:before="80"/>
        <w:jc w:val="both"/>
      </w:pPr>
      <w:r>
        <w:rPr>
          <w:rFonts w:ascii="Arial" w:cs="Arial" w:eastAsia="Arial" w:hAnsi="Arial"/>
          <w:b w:val="false"/>
          <w:bCs w:val="false"/>
          <w:i w:val="false"/>
          <w:iCs w:val="false"/>
          <w:color w:val="424242"/>
          <w:sz w:val="22"/>
          <w:szCs w:val="22"/>
        </w:rPr>
        <w:t xml:space="preserve">Le prix médian au m² de bâti est calculé sur les ventes de 2022 à 2025, avec élimination des valeurs aberrantes (filtre sur les percentiles 5 % et 95 %, et seuil minimum de 500 €/m²). Le prix est ensuite comparé à la médiane départementale pour produire une interprétation relative au marché local.</w:t>
      </w:r>
    </w:p>
    <w:p>
      <w:pPr>
        <w:spacing w:after="120" w:before="0"/>
      </w:pPr>
      <w:r>
        <w:t xml:space="preserve"/>
      </w:r>
    </w:p>
    <w:p>
      <w:pPr>
        <w:spacing w:after="0" w:before="0"/>
      </w:pPr>
      <w:r>
        <w:br w:type="page"/>
      </w:r>
    </w:p>
    <w:p>
      <w:pPr>
        <w:pStyle w:val="Heading1"/>
        <w:spacing w:after="200" w:before="400"/>
      </w:pPr>
      <w:r>
        <w:rPr>
          <w:rFonts w:ascii="Arial" w:cs="Arial" w:eastAsia="Arial" w:hAnsi="Arial"/>
          <w:b/>
          <w:bCs/>
          <w:color w:val="1A1A1A"/>
          <w:sz w:val="36"/>
          <w:szCs w:val="36"/>
        </w:rPr>
        <w:t xml:space="preserve">3. Types de projets évalués</w:t>
      </w:r>
    </w:p>
    <w:p>
      <w:pPr>
        <w:spacing w:after="120" w:before="80"/>
        <w:jc w:val="both"/>
      </w:pPr>
      <w:r>
        <w:rPr>
          <w:rFonts w:ascii="Arial" w:cs="Arial" w:eastAsia="Arial" w:hAnsi="Arial"/>
          <w:b w:val="false"/>
          <w:bCs w:val="false"/>
          <w:i w:val="false"/>
          <w:iCs w:val="false"/>
          <w:color w:val="424242"/>
          <w:sz w:val="22"/>
          <w:szCs w:val="22"/>
        </w:rPr>
        <w:t xml:space="preserve">L'outil évalue simultanément cinq types de projets d'agriculture urbaine. Pour chacun, les mêmes données sont analysées mais avec des pondérations et des seuils différents, reflétant les contraintes réelles de chaque modèle de production.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2526"/>
      </w:tblGrid>
      <w:tr>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Type</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Contrainte principale</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Poids pollution</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Plein sol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Cultures directement dans le sol en place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Pollution des sols (bloquante)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40%</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Bac hors-sol</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Cultures sur substrat isolé du sol</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Ensoleillement</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25%</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Toiture / rooftop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Agriculture sur toit-terrasse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Zonage PLU (surcharge)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5%</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Serre chauffée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Production sous serre avec apport chaleur</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Réseau de chaleur</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10%</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Mur végétal / façade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Végétalisation productive de façade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Ensoleillement façade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5%</w:t>
            </w:r>
          </w:p>
        </w:tc>
      </w:tr>
    </w:tbl>
    <w:p>
      <w:pPr>
        <w:spacing w:after="120" w:before="0"/>
      </w:pPr>
      <w:r>
        <w:t xml:space="preserve"/>
      </w:r>
    </w:p>
    <w:p>
      <w:pPr>
        <w:spacing w:after="120" w:before="0"/>
      </w:pPr>
      <w:r>
        <w:t xml:space="preserve"/>
      </w:r>
    </w:p>
    <w:p>
      <w:pPr>
        <w:spacing w:after="0" w:before="0"/>
      </w:pPr>
      <w:r>
        <w:br w:type="page"/>
      </w:r>
    </w:p>
    <w:p>
      <w:pPr>
        <w:pStyle w:val="Heading1"/>
        <w:spacing w:after="200" w:before="400"/>
      </w:pPr>
      <w:r>
        <w:rPr>
          <w:rFonts w:ascii="Arial" w:cs="Arial" w:eastAsia="Arial" w:hAnsi="Arial"/>
          <w:b/>
          <w:bCs/>
          <w:color w:val="1A1A1A"/>
          <w:sz w:val="36"/>
          <w:szCs w:val="36"/>
        </w:rPr>
        <w:t xml:space="preserve">4. Algorithme de scoring</w:t>
      </w:r>
    </w:p>
    <w:p>
      <w:pPr>
        <w:pStyle w:val="Heading2"/>
        <w:pBdr>
          <w:bottom w:val="single" w:color="C8E6C9" w:sz="4" w:space="1"/>
        </w:pBdr>
        <w:spacing w:after="160" w:before="300"/>
      </w:pPr>
      <w:r>
        <w:rPr>
          <w:rFonts w:ascii="Arial" w:cs="Arial" w:eastAsia="Arial" w:hAnsi="Arial"/>
          <w:b/>
          <w:bCs/>
          <w:color w:val="2E7D32"/>
          <w:sz w:val="28"/>
          <w:szCs w:val="28"/>
        </w:rPr>
        <w:t xml:space="preserve">4.1 Principe général</w:t>
      </w:r>
    </w:p>
    <w:p>
      <w:pPr>
        <w:spacing w:after="120" w:before="80"/>
        <w:jc w:val="both"/>
      </w:pPr>
      <w:r>
        <w:rPr>
          <w:rFonts w:ascii="Arial" w:cs="Arial" w:eastAsia="Arial" w:hAnsi="Arial"/>
          <w:b w:val="false"/>
          <w:bCs w:val="false"/>
          <w:i w:val="false"/>
          <w:iCs w:val="false"/>
          <w:color w:val="424242"/>
          <w:sz w:val="22"/>
          <w:szCs w:val="22"/>
        </w:rPr>
        <w:t xml:space="preserve">Pour chaque type de projet et chaque site, l'outil calcule un score de viabilité entre 0 et 100 en combinant cinq critères pondérés. Les pondérations varient selon le type de projet pour refléter l'importance réelle de chaque contrainte.</w:t>
      </w:r>
    </w:p>
    <w:p>
      <w:pPr>
        <w:spacing w:after="120" w:before="80"/>
        <w:jc w:val="both"/>
      </w:pPr>
      <w:r>
        <w:rPr>
          <w:rFonts w:ascii="Arial" w:cs="Arial" w:eastAsia="Arial" w:hAnsi="Arial"/>
          <w:b w:val="false"/>
          <w:bCs w:val="false"/>
          <w:i w:val="false"/>
          <w:iCs w:val="false"/>
          <w:color w:val="424242"/>
          <w:sz w:val="22"/>
          <w:szCs w:val="22"/>
        </w:rPr>
        <w:t xml:space="preserve">La formule générale est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pPr>
              <w:spacing w:after="0" w:before="0"/>
            </w:pPr>
            <w:r>
              <w:rPr>
                <w:rFonts w:ascii="Arial" w:cs="Arial" w:eastAsia="Arial" w:hAnsi="Arial"/>
                <w:i/>
                <w:iCs/>
                <w:color w:val="424242"/>
                <w:sz w:val="20"/>
                <w:szCs w:val="20"/>
              </w:rPr>
              <w:t xml:space="preserve">Score = Σ (score_critère × poids_critère)
Avec score_critère ∈ {0, 50, 100} selon le niveau de risque (danger, vigilance, favorable)</w:t>
            </w:r>
          </w:p>
        </w:tc>
      </w:tr>
    </w:tbl>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4.2 Niveaux de risque par critère</w:t>
      </w:r>
    </w:p>
    <w:p>
      <w:pPr>
        <w:spacing w:after="120" w:before="80"/>
        <w:jc w:val="both"/>
      </w:pPr>
      <w:r>
        <w:rPr>
          <w:rFonts w:ascii="Arial" w:cs="Arial" w:eastAsia="Arial" w:hAnsi="Arial"/>
          <w:b w:val="false"/>
          <w:bCs w:val="false"/>
          <w:i w:val="false"/>
          <w:iCs w:val="false"/>
          <w:color w:val="424242"/>
          <w:sz w:val="22"/>
          <w:szCs w:val="22"/>
        </w:rPr>
        <w:t xml:space="preserve">Chaque critère est évalué sur trois niveaux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2526"/>
      </w:tblGrid>
      <w:tr>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Niveau</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Valeur numérique</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Signification</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Favorable (ok)</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100 points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Aucune contrainte identifiée</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Vigilance (warn)</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50 points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Contrainte présente, projet possible avec précautions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Bloquant (danger)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0 points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Contrainte majeure, projet déconseillé pour ce type</w:t>
            </w:r>
          </w:p>
        </w:tc>
      </w:tr>
    </w:tbl>
    <w:p>
      <w:pPr>
        <w:spacing w:after="120" w:before="0"/>
      </w:pPr>
      <w:r>
        <w:t xml:space="preserve"/>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4.3 Pondérations par type de projet</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2526"/>
      </w:tblGrid>
      <w:tr>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Critère</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Plein sol</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Bac hors-sol</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Toiture</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Serre</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Façade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Pollution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40%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25%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10%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5%</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Ensoleillement</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25%</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25%</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35%</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20%</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35%</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Zonage PLU</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20%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20%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30%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20%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30%</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Réseau de chaleur</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5%</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5%</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10%</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35%</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5%</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Pluviométrie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10%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10%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10%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10%</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Total</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100%</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100%</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100%</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100%</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100%</w:t>
            </w:r>
          </w:p>
        </w:tc>
      </w:tr>
    </w:tbl>
    <w:p>
      <w:pPr>
        <w:spacing w:after="120" w:before="0"/>
      </w:pPr>
      <w:r>
        <w:t xml:space="preserve"/>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4.4 Règle des alertes bloquantes</w:t>
      </w:r>
    </w:p>
    <w:p>
      <w:pPr>
        <w:spacing w:after="120" w:before="80"/>
        <w:jc w:val="both"/>
      </w:pPr>
      <w:r>
        <w:rPr>
          <w:rFonts w:ascii="Arial" w:cs="Arial" w:eastAsia="Arial" w:hAnsi="Arial"/>
          <w:b w:val="false"/>
          <w:bCs w:val="false"/>
          <w:i w:val="false"/>
          <w:iCs w:val="false"/>
          <w:color w:val="424242"/>
          <w:sz w:val="22"/>
          <w:szCs w:val="22"/>
        </w:rPr>
        <w:t xml:space="preserve">Si un critère atteint le niveau « Bloquant » (danger), le score global du projet est plafonné à 30/100 et le verdict devient automatiquement « Déconseillé », quelle que soit la valeur des autres critères. Cette règle s'applique notamment à :</w:t>
      </w:r>
    </w:p>
    <w:p>
      <w:pPr>
        <w:pStyle w:val="ListParagraph"/>
        <w:numPr>
          <w:ilvl w:val="0"/>
          <w:numId w:val="2"/>
        </w:numPr>
        <w:spacing w:after="60" w:before="60"/>
      </w:pPr>
      <w:r>
        <w:rPr>
          <w:rFonts w:ascii="Arial" w:cs="Arial" w:eastAsia="Arial" w:hAnsi="Arial"/>
          <w:color w:val="424242"/>
          <w:sz w:val="22"/>
          <w:szCs w:val="22"/>
        </w:rPr>
        <w:t xml:space="preserve">La présence d'amiante dans un rayon d'exclusion pour les projets en plein sol et en bac</w:t>
      </w:r>
    </w:p>
    <w:p>
      <w:pPr>
        <w:pStyle w:val="ListParagraph"/>
        <w:numPr>
          <w:ilvl w:val="0"/>
          <w:numId w:val="2"/>
        </w:numPr>
        <w:spacing w:after="60" w:before="60"/>
      </w:pPr>
      <w:r>
        <w:rPr>
          <w:rFonts w:ascii="Arial" w:cs="Arial" w:eastAsia="Arial" w:hAnsi="Arial"/>
          <w:color w:val="424242"/>
          <w:sz w:val="22"/>
          <w:szCs w:val="22"/>
        </w:rPr>
        <w:t xml:space="preserve">La présence de métaux lourds dans un rayon d'exclusion pour les projets en plein sol</w:t>
      </w:r>
    </w:p>
    <w:p>
      <w:pPr>
        <w:pStyle w:val="ListParagraph"/>
        <w:numPr>
          <w:ilvl w:val="0"/>
          <w:numId w:val="2"/>
        </w:numPr>
        <w:spacing w:after="60" w:before="60"/>
      </w:pPr>
      <w:r>
        <w:rPr>
          <w:rFonts w:ascii="Arial" w:cs="Arial" w:eastAsia="Arial" w:hAnsi="Arial"/>
          <w:color w:val="424242"/>
          <w:sz w:val="22"/>
          <w:szCs w:val="22"/>
        </w:rPr>
        <w:t xml:space="preserve">La présence d'hydrocarbures dans un rayon d'exclusion pour les projets en plein sol</w:t>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4.5 Verdicts et seuils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2526"/>
      </w:tblGrid>
      <w:tr>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Score global</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Verdict</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Signification</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70 / 100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Recommandé</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Site viable pour ce type de projet</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40 – 69 / 100</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Envisageable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Projet possible avec précautions ou études complémentaires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&lt; 40 / 100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Déconseillé</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Contraintes majeures identifiées</w:t>
            </w:r>
          </w:p>
        </w:tc>
      </w:tr>
    </w:tbl>
    <w:p>
      <w:pPr>
        <w:spacing w:after="120" w:before="0"/>
      </w:pPr>
      <w:r>
        <w:t xml:space="preserve"/>
      </w:r>
    </w:p>
    <w:p>
      <w:pPr>
        <w:spacing w:after="120" w:before="0"/>
      </w:pPr>
      <w:r>
        <w:t xml:space="preserve"/>
      </w:r>
    </w:p>
    <w:p>
      <w:pPr>
        <w:spacing w:after="0" w:before="0"/>
      </w:pPr>
      <w:r>
        <w:br w:type="page"/>
      </w:r>
    </w:p>
    <w:p>
      <w:pPr>
        <w:pStyle w:val="Heading1"/>
        <w:spacing w:after="200" w:before="400"/>
      </w:pPr>
      <w:r>
        <w:rPr>
          <w:rFonts w:ascii="Arial" w:cs="Arial" w:eastAsia="Arial" w:hAnsi="Arial"/>
          <w:b/>
          <w:bCs/>
          <w:color w:val="1A1A1A"/>
          <w:sz w:val="36"/>
          <w:szCs w:val="36"/>
        </w:rPr>
        <w:t xml:space="preserve">5. Logique de traitement de la pollution</w:t>
      </w:r>
    </w:p>
    <w:p>
      <w:pPr>
        <w:spacing w:after="120" w:before="80"/>
        <w:jc w:val="both"/>
      </w:pPr>
      <w:r>
        <w:rPr>
          <w:rFonts w:ascii="Arial" w:cs="Arial" w:eastAsia="Arial" w:hAnsi="Arial"/>
          <w:b w:val="false"/>
          <w:bCs w:val="false"/>
          <w:i w:val="false"/>
          <w:iCs w:val="false"/>
          <w:color w:val="424242"/>
          <w:sz w:val="22"/>
          <w:szCs w:val="22"/>
        </w:rPr>
        <w:t xml:space="preserve">La pollution des sols est le critère le plus complexe car son impact varie selon le type de polluant ET le type de projet. L'outil applique une matrice d'impact croisée.</w:t>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5.1 Estimation du rayon d'exclusion</w:t>
      </w:r>
    </w:p>
    <w:p>
      <w:pPr>
        <w:spacing w:after="120" w:before="80"/>
        <w:jc w:val="both"/>
      </w:pPr>
      <w:r>
        <w:rPr>
          <w:rFonts w:ascii="Arial" w:cs="Arial" w:eastAsia="Arial" w:hAnsi="Arial"/>
          <w:b w:val="false"/>
          <w:bCs w:val="false"/>
          <w:i w:val="false"/>
          <w:iCs w:val="false"/>
          <w:color w:val="424242"/>
          <w:sz w:val="22"/>
          <w:szCs w:val="22"/>
        </w:rPr>
        <w:t xml:space="preserve">En l'absence de données précises sur l'étendue réelle de la pollution (non disponibles dans l'API publique), l'outil estime un rayon d'exclusion heuristique selon la famille d'activité du site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2526"/>
      </w:tblGrid>
      <w:tr>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Famille d'activité</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Rayon d'exclusion estimé</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Amiante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300 m</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Déchets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200 m</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Hydrocarbures / solvants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150 m</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Métaux / revêtements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100 m</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Site traité, libre de restrictions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30 m</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Autres activités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80 m</w:t>
            </w:r>
          </w:p>
        </w:tc>
      </w:tr>
    </w:tbl>
    <w:p>
      <w:pPr>
        <w:spacing w:after="120" w:before="0"/>
      </w:pPr>
      <w:r>
        <w:t xml:space="preserve"/>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5.2 Matrice d'impact pollution × type de projet</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2526"/>
      </w:tblGrid>
      <w:tr>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Polluant / Statut</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Plein sol</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Bac hors-sol</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Toiture / Serre / Façade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Métaux lourds (dans zone)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Bloquant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Bac étanche requis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Sans impact</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Hydrocarbures (dans zone)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Bloquant</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Vérifier vapeurs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Sans impact</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Amiante (dans zone)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Bloquant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Bloquant (poussières)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Vérifier air</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Site traité libre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Étude conseillée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OK</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OK</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Hors zone d'exclusion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Étude conseillée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OK</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OK</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Aucun site à 2 km</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Favorable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Favorable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 Favorable</w:t>
            </w:r>
          </w:p>
        </w:tc>
      </w:tr>
    </w:tbl>
    <w:p>
      <w:pPr>
        <w:spacing w:after="120" w:before="0"/>
      </w:pPr>
      <w:r>
        <w:t xml:space="preserve"/>
      </w:r>
    </w:p>
    <w:p>
      <w:pPr>
        <w:spacing w:after="120" w:before="0"/>
      </w:pPr>
      <w:r>
        <w:t xml:space="preserve"/>
      </w:r>
    </w:p>
    <w:p>
      <w:pPr>
        <w:spacing w:after="0" w:before="0"/>
      </w:pPr>
      <w:r>
        <w:br w:type="page"/>
      </w:r>
    </w:p>
    <w:p>
      <w:pPr>
        <w:pStyle w:val="Heading1"/>
        <w:spacing w:after="200" w:before="400"/>
      </w:pPr>
      <w:r>
        <w:rPr>
          <w:rFonts w:ascii="Arial" w:cs="Arial" w:eastAsia="Arial" w:hAnsi="Arial"/>
          <w:b/>
          <w:bCs/>
          <w:color w:val="1A1A1A"/>
          <w:sz w:val="36"/>
          <w:szCs w:val="36"/>
        </w:rPr>
        <w:t xml:space="preserve">6. Architecture technique</w:t>
      </w:r>
    </w:p>
    <w:p>
      <w:pPr>
        <w:pStyle w:val="Heading2"/>
        <w:pBdr>
          <w:bottom w:val="single" w:color="C8E6C9" w:sz="4" w:space="1"/>
        </w:pBdr>
        <w:spacing w:after="160" w:before="300"/>
      </w:pPr>
      <w:r>
        <w:rPr>
          <w:rFonts w:ascii="Arial" w:cs="Arial" w:eastAsia="Arial" w:hAnsi="Arial"/>
          <w:b/>
          <w:bCs/>
          <w:color w:val="2E7D32"/>
          <w:sz w:val="28"/>
          <w:szCs w:val="28"/>
        </w:rPr>
        <w:t xml:space="preserve">6.1 Vue d'ensemble</w:t>
      </w:r>
    </w:p>
    <w:p>
      <w:pPr>
        <w:spacing w:after="120" w:before="80"/>
        <w:jc w:val="both"/>
      </w:pPr>
      <w:r>
        <w:rPr>
          <w:rFonts w:ascii="Arial" w:cs="Arial" w:eastAsia="Arial" w:hAnsi="Arial"/>
          <w:b w:val="false"/>
          <w:bCs w:val="false"/>
          <w:i w:val="false"/>
          <w:iCs w:val="false"/>
          <w:color w:val="424242"/>
          <w:sz w:val="22"/>
          <w:szCs w:val="22"/>
        </w:rPr>
        <w:t xml:space="preserve">L'outil est composé de deux parties distinctes qui communiquent via des API REST :</w:t>
      </w:r>
    </w:p>
    <w:p>
      <w:pPr>
        <w:pStyle w:val="ListParagraph"/>
        <w:numPr>
          <w:ilvl w:val="0"/>
          <w:numId w:val="2"/>
        </w:numPr>
        <w:spacing w:after="60" w:before="60"/>
      </w:pPr>
      <w:r>
        <w:rPr>
          <w:rFonts w:ascii="Arial" w:cs="Arial" w:eastAsia="Arial" w:hAnsi="Arial"/>
          <w:color w:val="424242"/>
          <w:sz w:val="22"/>
          <w:szCs w:val="22"/>
        </w:rPr>
        <w:t xml:space="preserve">Un backend Python (FastAPI) qui joue le rôle de proxy entre le navigateur et les API publiques, résolvant ainsi les restrictions CORS des navigateurs</w:t>
      </w:r>
    </w:p>
    <w:p>
      <w:pPr>
        <w:pStyle w:val="ListParagraph"/>
        <w:numPr>
          <w:ilvl w:val="0"/>
          <w:numId w:val="2"/>
        </w:numPr>
        <w:spacing w:after="60" w:before="60"/>
      </w:pPr>
      <w:r>
        <w:rPr>
          <w:rFonts w:ascii="Arial" w:cs="Arial" w:eastAsia="Arial" w:hAnsi="Arial"/>
          <w:color w:val="424242"/>
          <w:sz w:val="22"/>
          <w:szCs w:val="22"/>
        </w:rPr>
        <w:t xml:space="preserve">Un frontend HTML/JavaScript (MapLibre GL JS) qui affiche la carte interactive et le panneau de diagnostic</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20"/>
              <w:left w:type="dxa" w:w="160"/>
              <w:bottom w:type="dxa" w:w="120"/>
              <w:right w:type="dxa" w:w="160"/>
            </w:tcMar>
          </w:tcPr>
          <w:p>
            <w:pPr>
              <w:spacing w:after="0" w:before="0"/>
            </w:pPr>
            <w:r>
              <w:rPr>
                <w:rFonts w:ascii="Arial" w:cs="Arial" w:eastAsia="Arial" w:hAnsi="Arial"/>
                <w:i/>
                <w:iCs/>
                <w:color w:val="424242"/>
                <w:sz w:val="20"/>
                <w:szCs w:val="20"/>
              </w:rPr>
              <w:t xml:space="preserve">Le backend est indispensable : sans lui, le navigateur ne peut pas appeler directement les API publiques à cause des restrictions de sécurité CORS (Cross-Origin Resource Sharing).</w:t>
            </w:r>
          </w:p>
        </w:tc>
      </w:tr>
    </w:tbl>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6.2 Flux d'un diagnostic</w:t>
      </w:r>
    </w:p>
    <w:p>
      <w:pPr>
        <w:spacing w:after="120" w:before="80"/>
        <w:jc w:val="both"/>
      </w:pPr>
      <w:r>
        <w:rPr>
          <w:rFonts w:ascii="Arial" w:cs="Arial" w:eastAsia="Arial" w:hAnsi="Arial"/>
          <w:b w:val="false"/>
          <w:bCs w:val="false"/>
          <w:i w:val="false"/>
          <w:iCs w:val="false"/>
          <w:color w:val="424242"/>
          <w:sz w:val="22"/>
          <w:szCs w:val="22"/>
        </w:rPr>
        <w:t xml:space="preserve">Lors d'un clic sur la carte, voici les étapes exécutées en parallèle :</w:t>
      </w:r>
    </w:p>
    <w:p>
      <w:pPr>
        <w:pStyle w:val="ListParagraph"/>
        <w:numPr>
          <w:ilvl w:val="0"/>
          <w:numId w:val="2"/>
        </w:numPr>
        <w:spacing w:after="60" w:before="60"/>
      </w:pPr>
      <w:r>
        <w:rPr>
          <w:rFonts w:ascii="Arial" w:cs="Arial" w:eastAsia="Arial" w:hAnsi="Arial"/>
          <w:color w:val="424242"/>
          <w:sz w:val="22"/>
          <w:szCs w:val="22"/>
        </w:rPr>
        <w:t xml:space="preserve">GET /api/diagnostic → le frontend appelle un seul endpoint</w:t>
      </w:r>
    </w:p>
    <w:p>
      <w:pPr>
        <w:pStyle w:val="ListParagraph"/>
        <w:numPr>
          <w:ilvl w:val="0"/>
          <w:numId w:val="2"/>
        </w:numPr>
        <w:spacing w:after="60" w:before="60"/>
      </w:pPr>
      <w:r>
        <w:rPr>
          <w:rFonts w:ascii="Arial" w:cs="Arial" w:eastAsia="Arial" w:hAnsi="Arial"/>
          <w:color w:val="424242"/>
          <w:sz w:val="22"/>
          <w:szCs w:val="22"/>
        </w:rPr>
        <w:t xml:space="preserve">Le backend lance 6 appels API simultanés (asyncio.gather) vers Géorisques, PVGIS, SNCU, IGN GPU, Open-Meteo, API Adresse</w:t>
      </w:r>
    </w:p>
    <w:p>
      <w:pPr>
        <w:pStyle w:val="ListParagraph"/>
        <w:numPr>
          <w:ilvl w:val="0"/>
          <w:numId w:val="2"/>
        </w:numPr>
        <w:spacing w:after="60" w:before="60"/>
      </w:pPr>
      <w:r>
        <w:rPr>
          <w:rFonts w:ascii="Arial" w:cs="Arial" w:eastAsia="Arial" w:hAnsi="Arial"/>
          <w:color w:val="424242"/>
          <w:sz w:val="22"/>
          <w:szCs w:val="22"/>
        </w:rPr>
        <w:t xml:space="preserve">Chaque résultat est normalisé et scoré selon la logique décrite ci-dessus</w:t>
      </w:r>
    </w:p>
    <w:p>
      <w:pPr>
        <w:pStyle w:val="ListParagraph"/>
        <w:numPr>
          <w:ilvl w:val="0"/>
          <w:numId w:val="2"/>
        </w:numPr>
        <w:spacing w:after="60" w:before="60"/>
      </w:pPr>
      <w:r>
        <w:rPr>
          <w:rFonts w:ascii="Arial" w:cs="Arial" w:eastAsia="Arial" w:hAnsi="Arial"/>
          <w:color w:val="424242"/>
          <w:sz w:val="22"/>
          <w:szCs w:val="22"/>
        </w:rPr>
        <w:t xml:space="preserve">Le backend retourne un JSON unifié avec les 5 projets classés par score</w:t>
      </w:r>
    </w:p>
    <w:p>
      <w:pPr>
        <w:pStyle w:val="ListParagraph"/>
        <w:numPr>
          <w:ilvl w:val="0"/>
          <w:numId w:val="2"/>
        </w:numPr>
        <w:spacing w:after="60" w:before="60"/>
      </w:pPr>
      <w:r>
        <w:rPr>
          <w:rFonts w:ascii="Arial" w:cs="Arial" w:eastAsia="Arial" w:hAnsi="Arial"/>
          <w:color w:val="424242"/>
          <w:sz w:val="22"/>
          <w:szCs w:val="22"/>
        </w:rPr>
        <w:t xml:space="preserve">Le frontend affiche le top 3 et permet de voir les 2 autres</w:t>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6.3 Stack technologique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2526"/>
      </w:tblGrid>
      <w:tr>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Composant</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Technologie</w:t>
            </w:r>
          </w:p>
        </w:tc>
        <w:tc>
          <w:tcPr>
            <w:tcBorders>
              <w:top w:val="single" w:color="DDDDDD" w:sz="1"/>
              <w:left w:val="single" w:color="DDDDDD" w:sz="1"/>
              <w:bottom w:val="single" w:color="DDDDDD" w:sz="1"/>
              <w:right w:val="single" w:color="DDDDDD" w:sz="1"/>
            </w:tcBorders>
            <w:shd w:fill="37474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Rôle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Backend API</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Python / FastAPI</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Proxy API, calcul des scores, génération PDF</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Carte interactive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MapLibre GL JS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Affichage carte vectorielle, couches données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Calculs géospatiaux</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Turf.js (frontend)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Buffers de pollution, distances</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Conversion coordonnées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pyproj (backend)</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Lambert 93 → WGS84 pour les réseaux de chaleur</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Génération PDF</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fpdf2 + DejaVu</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Fiche diagnostic téléchargeable</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Fond de carte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OpenFreeMap (dark)</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color w:val="424242"/>
                <w:sz w:val="20"/>
                <w:szCs w:val="20"/>
              </w:rPr>
              <w:t xml:space="preserve">Tuiles vectorielles gratuites</w:t>
            </w:r>
          </w:p>
        </w:tc>
      </w:tr>
    </w:tbl>
    <w:p>
      <w:pPr>
        <w:spacing w:after="120" w:before="0"/>
      </w:pPr>
      <w:r>
        <w:t xml:space="preserve"/>
      </w:r>
    </w:p>
    <w:p>
      <w:pPr>
        <w:spacing w:after="120" w:before="0"/>
      </w:pPr>
      <w:r>
        <w:t xml:space="preserve"/>
      </w:r>
    </w:p>
    <w:p>
      <w:pPr>
        <w:spacing w:after="0" w:before="0"/>
      </w:pPr>
      <w:r>
        <w:br w:type="page"/>
      </w:r>
    </w:p>
    <w:p>
      <w:pPr>
        <w:pStyle w:val="Heading1"/>
        <w:spacing w:after="200" w:before="400"/>
      </w:pPr>
      <w:r>
        <w:rPr>
          <w:rFonts w:ascii="Arial" w:cs="Arial" w:eastAsia="Arial" w:hAnsi="Arial"/>
          <w:b/>
          <w:bCs/>
          <w:color w:val="1A1A1A"/>
          <w:sz w:val="36"/>
          <w:szCs w:val="36"/>
        </w:rPr>
        <w:t xml:space="preserve">7. Limites et précautions d'usage</w:t>
      </w:r>
    </w:p>
    <w:p>
      <w:pPr>
        <w:pStyle w:val="Heading2"/>
        <w:pBdr>
          <w:bottom w:val="single" w:color="C8E6C9" w:sz="4" w:space="1"/>
        </w:pBdr>
        <w:spacing w:after="160" w:before="300"/>
      </w:pPr>
      <w:r>
        <w:rPr>
          <w:rFonts w:ascii="Arial" w:cs="Arial" w:eastAsia="Arial" w:hAnsi="Arial"/>
          <w:b/>
          <w:bCs/>
          <w:color w:val="2E7D32"/>
          <w:sz w:val="28"/>
          <w:szCs w:val="28"/>
        </w:rPr>
        <w:t xml:space="preserve">7.1 Limites inhérentes aux données</w:t>
      </w:r>
    </w:p>
    <w:p>
      <w:pPr>
        <w:pStyle w:val="ListParagraph"/>
        <w:numPr>
          <w:ilvl w:val="0"/>
          <w:numId w:val="2"/>
        </w:numPr>
        <w:spacing w:after="60" w:before="60"/>
      </w:pPr>
      <w:r>
        <w:rPr>
          <w:rFonts w:ascii="Arial" w:cs="Arial" w:eastAsia="Arial" w:hAnsi="Arial"/>
          <w:color w:val="424242"/>
          <w:sz w:val="22"/>
          <w:szCs w:val="22"/>
        </w:rPr>
        <w:t xml:space="preserve">Les données SSP/CASIAS ne couvrent que les sites connus et déclarés. Un terrain peut présenter une pollution diffuse non répertoriée.</w:t>
      </w:r>
    </w:p>
    <w:p>
      <w:pPr>
        <w:pStyle w:val="ListParagraph"/>
        <w:numPr>
          <w:ilvl w:val="0"/>
          <w:numId w:val="2"/>
        </w:numPr>
        <w:spacing w:after="60" w:before="60"/>
      </w:pPr>
      <w:r>
        <w:rPr>
          <w:rFonts w:ascii="Arial" w:cs="Arial" w:eastAsia="Arial" w:hAnsi="Arial"/>
          <w:color w:val="424242"/>
          <w:sz w:val="22"/>
          <w:szCs w:val="22"/>
        </w:rPr>
        <w:t xml:space="preserve">L'ensoleillement PVGIS est calculé sur plan horizontal optimal, pas sur la toiture réelle d'un bâtiment. Les masques proches (bâtiments voisins, végétation) ne sont pas pris en compte.</w:t>
      </w:r>
    </w:p>
    <w:p>
      <w:pPr>
        <w:pStyle w:val="ListParagraph"/>
        <w:numPr>
          <w:ilvl w:val="0"/>
          <w:numId w:val="2"/>
        </w:numPr>
        <w:spacing w:after="60" w:before="60"/>
      </w:pPr>
      <w:r>
        <w:rPr>
          <w:rFonts w:ascii="Arial" w:cs="Arial" w:eastAsia="Arial" w:hAnsi="Arial"/>
          <w:color w:val="424242"/>
          <w:sz w:val="22"/>
          <w:szCs w:val="22"/>
        </w:rPr>
        <w:t xml:space="preserve">Le zonage PLU indiqué est le type de zone, pas le règlement détaillé. Les articles 1 à 14 du règlement de zone (hauteurs, emprise, destination) doivent être consultés séparément.</w:t>
      </w:r>
    </w:p>
    <w:p>
      <w:pPr>
        <w:pStyle w:val="ListParagraph"/>
        <w:numPr>
          <w:ilvl w:val="0"/>
          <w:numId w:val="2"/>
        </w:numPr>
        <w:spacing w:after="60" w:before="60"/>
      </w:pPr>
      <w:r>
        <w:rPr>
          <w:rFonts w:ascii="Arial" w:cs="Arial" w:eastAsia="Arial" w:hAnsi="Arial"/>
          <w:color w:val="424242"/>
          <w:sz w:val="22"/>
          <w:szCs w:val="22"/>
        </w:rPr>
        <w:t xml:space="preserve">Les prix DVF correspondent aux transactions enregistrées, pas aux prix de marché actuels. Pour les zones peu actives (moins de 3 transactions), aucune donnée n'est disponible.</w:t>
      </w:r>
    </w:p>
    <w:p>
      <w:pPr>
        <w:pStyle w:val="ListParagraph"/>
        <w:numPr>
          <w:ilvl w:val="0"/>
          <w:numId w:val="2"/>
        </w:numPr>
        <w:spacing w:after="60" w:before="60"/>
      </w:pPr>
      <w:r>
        <w:rPr>
          <w:rFonts w:ascii="Arial" w:cs="Arial" w:eastAsia="Arial" w:hAnsi="Arial"/>
          <w:color w:val="424242"/>
          <w:sz w:val="22"/>
          <w:szCs w:val="22"/>
        </w:rPr>
        <w:t xml:space="preserve">La pluviométrie est une moyenne 2018-2023, période plus humide que la normale climatique historique (1981-2010).</w:t>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7.2 Ce qui n'est pas évalué</w:t>
      </w:r>
    </w:p>
    <w:p>
      <w:pPr>
        <w:pStyle w:val="ListParagraph"/>
        <w:numPr>
          <w:ilvl w:val="0"/>
          <w:numId w:val="2"/>
        </w:numPr>
        <w:spacing w:after="60" w:before="60"/>
      </w:pPr>
      <w:r>
        <w:rPr>
          <w:rFonts w:ascii="Arial" w:cs="Arial" w:eastAsia="Arial" w:hAnsi="Arial"/>
          <w:color w:val="424242"/>
          <w:sz w:val="22"/>
          <w:szCs w:val="22"/>
        </w:rPr>
        <w:t xml:space="preserve">La structure portante des bâtiments (capacité de charge des toitures)</w:t>
      </w:r>
    </w:p>
    <w:p>
      <w:pPr>
        <w:pStyle w:val="ListParagraph"/>
        <w:numPr>
          <w:ilvl w:val="0"/>
          <w:numId w:val="2"/>
        </w:numPr>
        <w:spacing w:after="60" w:before="60"/>
      </w:pPr>
      <w:r>
        <w:rPr>
          <w:rFonts w:ascii="Arial" w:cs="Arial" w:eastAsia="Arial" w:hAnsi="Arial"/>
          <w:color w:val="424242"/>
          <w:sz w:val="22"/>
          <w:szCs w:val="22"/>
        </w:rPr>
        <w:t xml:space="preserve">L'accès à l'eau et aux réseaux (eau potable, électricité, évacuation)</w:t>
      </w:r>
    </w:p>
    <w:p>
      <w:pPr>
        <w:pStyle w:val="ListParagraph"/>
        <w:numPr>
          <w:ilvl w:val="0"/>
          <w:numId w:val="2"/>
        </w:numPr>
        <w:spacing w:after="60" w:before="60"/>
      </w:pPr>
      <w:r>
        <w:rPr>
          <w:rFonts w:ascii="Arial" w:cs="Arial" w:eastAsia="Arial" w:hAnsi="Arial"/>
          <w:color w:val="424242"/>
          <w:sz w:val="22"/>
          <w:szCs w:val="22"/>
        </w:rPr>
        <w:t xml:space="preserve">La faisabilité technique du raccordement au réseau de chaleur (coût de la tranchée)</w:t>
      </w:r>
    </w:p>
    <w:p>
      <w:pPr>
        <w:pStyle w:val="ListParagraph"/>
        <w:numPr>
          <w:ilvl w:val="0"/>
          <w:numId w:val="2"/>
        </w:numPr>
        <w:spacing w:after="60" w:before="60"/>
      </w:pPr>
      <w:r>
        <w:rPr>
          <w:rFonts w:ascii="Arial" w:cs="Arial" w:eastAsia="Arial" w:hAnsi="Arial"/>
          <w:color w:val="424242"/>
          <w:sz w:val="22"/>
          <w:szCs w:val="22"/>
        </w:rPr>
        <w:t xml:space="preserve">La qualité agronomique du sol (pH, texture, matière organique)</w:t>
      </w:r>
    </w:p>
    <w:p>
      <w:pPr>
        <w:pStyle w:val="ListParagraph"/>
        <w:numPr>
          <w:ilvl w:val="0"/>
          <w:numId w:val="2"/>
        </w:numPr>
        <w:spacing w:after="60" w:before="60"/>
      </w:pPr>
      <w:r>
        <w:rPr>
          <w:rFonts w:ascii="Arial" w:cs="Arial" w:eastAsia="Arial" w:hAnsi="Arial"/>
          <w:color w:val="424242"/>
          <w:sz w:val="22"/>
          <w:szCs w:val="22"/>
        </w:rPr>
        <w:t xml:space="preserve">Les servitudes d'urbanisme spécifiques (monuments historiques, zones inondables, PPRI)</w:t>
      </w:r>
    </w:p>
    <w:p>
      <w:pPr>
        <w:pStyle w:val="ListParagraph"/>
        <w:numPr>
          <w:ilvl w:val="0"/>
          <w:numId w:val="2"/>
        </w:numPr>
        <w:spacing w:after="60" w:before="60"/>
      </w:pPr>
      <w:r>
        <w:rPr>
          <w:rFonts w:ascii="Arial" w:cs="Arial" w:eastAsia="Arial" w:hAnsi="Arial"/>
          <w:color w:val="424242"/>
          <w:sz w:val="22"/>
          <w:szCs w:val="22"/>
        </w:rPr>
        <w:t xml:space="preserve">La disponibilité foncière réelle (propriété, bail, occupation)</w:t>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7.3 Études recommandées avant engagement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pPr>
              <w:spacing w:after="0" w:before="0"/>
            </w:pPr>
            <w:r>
              <w:rPr>
                <w:rFonts w:ascii="Arial" w:cs="Arial" w:eastAsia="Arial" w:hAnsi="Arial"/>
                <w:i/>
                <w:iCs/>
                <w:color w:val="424242"/>
                <w:sz w:val="20"/>
                <w:szCs w:val="20"/>
              </w:rPr>
              <w:t xml:space="preserve">Pour tout projet ayant obtenu un verdict 'Recommandé' ou 'Envisageable', les étapes suivantes sont recommandées avant tout engagement financier :
1. Consultation du service urbanisme de la commune (pré-instruction)
2. Étude pédologique si projet en plein sol ou à moins de 500 m d'un site SSP
3. Demande de certificat d'urbanisme opérationnel (CUb)
4. Dossier de pré-faisabilité auprès de l'ADEME locale
5. Étude de structure si projet en toiture</w:t>
            </w:r>
          </w:p>
        </w:tc>
      </w:tr>
    </w:tbl>
    <w:p>
      <w:pPr>
        <w:spacing w:after="120" w:before="0"/>
      </w:pPr>
      <w:r>
        <w:t xml:space="preserve"/>
      </w:r>
    </w:p>
    <w:p>
      <w:pPr>
        <w:spacing w:after="120" w:before="0"/>
      </w:pPr>
      <w:r>
        <w:t xml:space="preserve"/>
      </w:r>
    </w:p>
    <w:p>
      <w:pPr>
        <w:spacing w:after="0" w:before="0"/>
      </w:pPr>
      <w:r>
        <w:br w:type="page"/>
      </w:r>
    </w:p>
    <w:p>
      <w:pPr>
        <w:pStyle w:val="Heading1"/>
        <w:spacing w:after="200" w:before="400"/>
      </w:pPr>
      <w:r>
        <w:rPr>
          <w:rFonts w:ascii="Arial" w:cs="Arial" w:eastAsia="Arial" w:hAnsi="Arial"/>
          <w:b/>
          <w:bCs/>
          <w:color w:val="1A1A1A"/>
          <w:sz w:val="36"/>
          <w:szCs w:val="36"/>
        </w:rPr>
        <w:t xml:space="preserve">8. Références et ressources</w:t>
      </w:r>
    </w:p>
    <w:p>
      <w:pPr>
        <w:pStyle w:val="Heading2"/>
        <w:pBdr>
          <w:bottom w:val="single" w:color="C8E6C9" w:sz="4" w:space="1"/>
        </w:pBdr>
        <w:spacing w:after="160" w:before="300"/>
      </w:pPr>
      <w:r>
        <w:rPr>
          <w:rFonts w:ascii="Arial" w:cs="Arial" w:eastAsia="Arial" w:hAnsi="Arial"/>
          <w:b/>
          <w:bCs/>
          <w:color w:val="2E7D32"/>
          <w:sz w:val="28"/>
          <w:szCs w:val="28"/>
        </w:rPr>
        <w:t xml:space="preserve">8.1 API et données</w:t>
      </w:r>
    </w:p>
    <w:p>
      <w:pPr>
        <w:pStyle w:val="ListParagraph"/>
        <w:numPr>
          <w:ilvl w:val="0"/>
          <w:numId w:val="2"/>
        </w:numPr>
        <w:spacing w:after="60" w:before="60"/>
      </w:pPr>
      <w:r>
        <w:rPr>
          <w:rFonts w:ascii="Arial" w:cs="Arial" w:eastAsia="Arial" w:hAnsi="Arial"/>
          <w:color w:val="424242"/>
          <w:sz w:val="22"/>
          <w:szCs w:val="22"/>
        </w:rPr>
        <w:t xml:space="preserve">Géorisques SSP CASIAS : https://www.georisques.gouv.fr/doc-api</w:t>
      </w:r>
    </w:p>
    <w:p>
      <w:pPr>
        <w:pStyle w:val="ListParagraph"/>
        <w:numPr>
          <w:ilvl w:val="0"/>
          <w:numId w:val="2"/>
        </w:numPr>
        <w:spacing w:after="60" w:before="60"/>
      </w:pPr>
      <w:r>
        <w:rPr>
          <w:rFonts w:ascii="Arial" w:cs="Arial" w:eastAsia="Arial" w:hAnsi="Arial"/>
          <w:color w:val="424242"/>
          <w:sz w:val="22"/>
          <w:szCs w:val="22"/>
        </w:rPr>
        <w:t xml:space="preserve">PVGIS JRC : https://re.jrc.ec.europa.eu/pvg_tools/fr/</w:t>
      </w:r>
    </w:p>
    <w:p>
      <w:pPr>
        <w:pStyle w:val="ListParagraph"/>
        <w:numPr>
          <w:ilvl w:val="0"/>
          <w:numId w:val="2"/>
        </w:numPr>
        <w:spacing w:after="60" w:before="60"/>
      </w:pPr>
      <w:r>
        <w:rPr>
          <w:rFonts w:ascii="Arial" w:cs="Arial" w:eastAsia="Arial" w:hAnsi="Arial"/>
          <w:color w:val="424242"/>
          <w:sz w:val="22"/>
          <w:szCs w:val="22"/>
        </w:rPr>
        <w:t xml:space="preserve">Réseaux de chaleur : https://www.data.gouv.fr/fr/datasets/traces-des-reseaux-de-chaleur-et-de-froid/</w:t>
      </w:r>
    </w:p>
    <w:p>
      <w:pPr>
        <w:pStyle w:val="ListParagraph"/>
        <w:numPr>
          <w:ilvl w:val="0"/>
          <w:numId w:val="2"/>
        </w:numPr>
        <w:spacing w:after="60" w:before="60"/>
      </w:pPr>
      <w:r>
        <w:rPr>
          <w:rFonts w:ascii="Arial" w:cs="Arial" w:eastAsia="Arial" w:hAnsi="Arial"/>
          <w:color w:val="424242"/>
          <w:sz w:val="22"/>
          <w:szCs w:val="22"/>
        </w:rPr>
        <w:t xml:space="preserve">API Carto IGN GPU : https://apicarto.ign.fr/api/doc/gpu</w:t>
      </w:r>
    </w:p>
    <w:p>
      <w:pPr>
        <w:pStyle w:val="ListParagraph"/>
        <w:numPr>
          <w:ilvl w:val="0"/>
          <w:numId w:val="2"/>
        </w:numPr>
        <w:spacing w:after="60" w:before="60"/>
      </w:pPr>
      <w:r>
        <w:rPr>
          <w:rFonts w:ascii="Arial" w:cs="Arial" w:eastAsia="Arial" w:hAnsi="Arial"/>
          <w:color w:val="424242"/>
          <w:sz w:val="22"/>
          <w:szCs w:val="22"/>
        </w:rPr>
        <w:t xml:space="preserve">Géoportail Urbanisme : https://www.geoportail-urbanisme.gouv.fr/</w:t>
      </w:r>
    </w:p>
    <w:p>
      <w:pPr>
        <w:pStyle w:val="ListParagraph"/>
        <w:numPr>
          <w:ilvl w:val="0"/>
          <w:numId w:val="2"/>
        </w:numPr>
        <w:spacing w:after="60" w:before="60"/>
      </w:pPr>
      <w:r>
        <w:rPr>
          <w:rFonts w:ascii="Arial" w:cs="Arial" w:eastAsia="Arial" w:hAnsi="Arial"/>
          <w:color w:val="424242"/>
          <w:sz w:val="22"/>
          <w:szCs w:val="22"/>
        </w:rPr>
        <w:t xml:space="preserve">Open-Meteo : https://open-meteo.com/</w:t>
      </w:r>
    </w:p>
    <w:p>
      <w:pPr>
        <w:pStyle w:val="ListParagraph"/>
        <w:numPr>
          <w:ilvl w:val="0"/>
          <w:numId w:val="2"/>
        </w:numPr>
        <w:spacing w:after="60" w:before="60"/>
      </w:pPr>
      <w:r>
        <w:rPr>
          <w:rFonts w:ascii="Arial" w:cs="Arial" w:eastAsia="Arial" w:hAnsi="Arial"/>
          <w:color w:val="424242"/>
          <w:sz w:val="22"/>
          <w:szCs w:val="22"/>
        </w:rPr>
        <w:t xml:space="preserve">DVF DGFiP : https://www.data.gouv.fr/fr/datasets/demandes-de-valeurs-foncieres/</w:t>
      </w:r>
    </w:p>
    <w:p>
      <w:pPr>
        <w:pStyle w:val="ListParagraph"/>
        <w:numPr>
          <w:ilvl w:val="0"/>
          <w:numId w:val="2"/>
        </w:numPr>
        <w:spacing w:after="60" w:before="60"/>
      </w:pPr>
      <w:r>
        <w:rPr>
          <w:rFonts w:ascii="Arial" w:cs="Arial" w:eastAsia="Arial" w:hAnsi="Arial"/>
          <w:color w:val="424242"/>
          <w:sz w:val="22"/>
          <w:szCs w:val="22"/>
        </w:rPr>
        <w:t xml:space="preserve">API Adresse : https://adresse.data.gouv.fr/api-doc/adresse</w:t>
      </w:r>
    </w:p>
    <w:p>
      <w:pPr>
        <w:spacing w:after="120" w:before="0"/>
      </w:pPr>
      <w:r>
        <w:t xml:space="preserve"/>
      </w:r>
    </w:p>
    <w:p>
      <w:pPr>
        <w:pStyle w:val="Heading2"/>
        <w:pBdr>
          <w:bottom w:val="single" w:color="C8E6C9" w:sz="4" w:space="1"/>
        </w:pBdr>
        <w:spacing w:after="160" w:before="300"/>
      </w:pPr>
      <w:r>
        <w:rPr>
          <w:rFonts w:ascii="Arial" w:cs="Arial" w:eastAsia="Arial" w:hAnsi="Arial"/>
          <w:b/>
          <w:bCs/>
          <w:color w:val="2E7D32"/>
          <w:sz w:val="28"/>
          <w:szCs w:val="28"/>
        </w:rPr>
        <w:t xml:space="preserve">8.2 Ressources complémentaires</w:t>
      </w:r>
    </w:p>
    <w:p>
      <w:pPr>
        <w:pStyle w:val="ListParagraph"/>
        <w:numPr>
          <w:ilvl w:val="0"/>
          <w:numId w:val="2"/>
        </w:numPr>
        <w:spacing w:after="60" w:before="60"/>
      </w:pPr>
      <w:r>
        <w:rPr>
          <w:rFonts w:ascii="Arial" w:cs="Arial" w:eastAsia="Arial" w:hAnsi="Arial"/>
          <w:color w:val="424242"/>
          <w:sz w:val="22"/>
          <w:szCs w:val="22"/>
        </w:rPr>
        <w:t xml:space="preserve">LiDAR HD IGN (ensoleillement précis) : https://diffusion-lidarhd.ign.fr/</w:t>
      </w:r>
    </w:p>
    <w:p>
      <w:pPr>
        <w:pStyle w:val="ListParagraph"/>
        <w:numPr>
          <w:ilvl w:val="0"/>
          <w:numId w:val="2"/>
        </w:numPr>
        <w:spacing w:after="60" w:before="60"/>
      </w:pPr>
      <w:r>
        <w:rPr>
          <w:rFonts w:ascii="Arial" w:cs="Arial" w:eastAsia="Arial" w:hAnsi="Arial"/>
          <w:color w:val="424242"/>
          <w:sz w:val="22"/>
          <w:szCs w:val="22"/>
        </w:rPr>
        <w:t xml:space="preserve">BRGM InfoTerre (géologie, sous-sol) : https://infoterre.brgm.fr/</w:t>
      </w:r>
    </w:p>
    <w:p>
      <w:pPr>
        <w:pStyle w:val="ListParagraph"/>
        <w:numPr>
          <w:ilvl w:val="0"/>
          <w:numId w:val="2"/>
        </w:numPr>
        <w:spacing w:after="60" w:before="60"/>
      </w:pPr>
      <w:r>
        <w:rPr>
          <w:rFonts w:ascii="Arial" w:cs="Arial" w:eastAsia="Arial" w:hAnsi="Arial"/>
          <w:color w:val="424242"/>
          <w:sz w:val="22"/>
          <w:szCs w:val="22"/>
        </w:rPr>
        <w:t xml:space="preserve">ADEME — Agriculture urbaine : https://www.ademe.fr/</w:t>
      </w:r>
    </w:p>
    <w:p>
      <w:pPr>
        <w:pStyle w:val="ListParagraph"/>
        <w:numPr>
          <w:ilvl w:val="0"/>
          <w:numId w:val="2"/>
        </w:numPr>
        <w:spacing w:after="60" w:before="60"/>
      </w:pPr>
      <w:r>
        <w:rPr>
          <w:rFonts w:ascii="Arial" w:cs="Arial" w:eastAsia="Arial" w:hAnsi="Arial"/>
          <w:color w:val="424242"/>
          <w:sz w:val="22"/>
          <w:szCs w:val="22"/>
        </w:rPr>
        <w:t xml:space="preserve">Collectif Agriculteurs Urbains : https://www.agriculteurs-urbains.fr/</w:t>
      </w:r>
    </w:p>
    <w:p>
      <w:pPr>
        <w:spacing w:after="120" w:before="0"/>
      </w:pPr>
      <w:r>
        <w:t xml:space="preserve"/>
      </w:r>
    </w:p>
    <w:p>
      <w:pPr>
        <w:spacing w:after="120" w:before="0"/>
      </w:pPr>
      <w:r>
        <w:t xml:space="preserve"/>
      </w:r>
    </w:p>
    <w:p>
      <w:pPr>
        <w:pBdr>
          <w:top w:val="single" w:color="E0E0E0" w:sz="4" w:space="4"/>
        </w:pBdr>
        <w:spacing w:after="0" w:before="400"/>
        <w:jc w:val="center"/>
      </w:pPr>
      <w:r>
        <w:rPr>
          <w:rFonts w:ascii="Arial" w:cs="Arial" w:eastAsia="Arial" w:hAnsi="Arial"/>
          <w:i/>
          <w:iCs/>
          <w:color w:val="757575"/>
          <w:sz w:val="18"/>
          <w:szCs w:val="18"/>
        </w:rPr>
        <w:t xml:space="preserve">Foncier Agricole Urbain — Note méthodologique v2 — Avril 2026 — Données publiques françaises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2026-04-10T10:15:14.569Z</dcterms:created>
  <dcterms:modified xsi:type="dcterms:W3CDTF">2026-04-10T10:15:14.569Z</dcterms:modified>
</cp:coreProperties>
</file>

<file path=docProps/custom.xml><?xml version="1.0" encoding="utf-8"?>
<Properties xmlns="http://schemas.openxmlformats.org/officeDocument/2006/custom-properties" xmlns:vt="http://schemas.openxmlformats.org/officeDocument/2006/docPropsVTypes"/>
</file>