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</w:pPr>
      <w:r>
        <w:rPr>
          <w:rFonts w:ascii="Calibri" w:hAnsi="Calibri"/>
          <w:b/>
          <w:i w:val="0"/>
          <w:color w:val="14B8A6"/>
          <w:sz w:val="18"/>
        </w:rPr>
        <w:t>MANUAL DE IDENTIDADE VISUAL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14500"/>
            <wp:docPr id="1" name="Picture 1" descr="01-logo-principal-fundo-cla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o-principal-fundo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20"/>
        <w:jc w:val="center"/>
      </w:pPr>
      <w:r>
        <w:rPr>
          <w:rFonts w:ascii="Calibri" w:hAnsi="Calibri"/>
          <w:b/>
          <w:i w:val="0"/>
          <w:color w:val="0F172A"/>
          <w:sz w:val="44"/>
        </w:rPr>
        <w:t>GUIA DE MARCA E APLICAÇÕES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1"/>
        </w:rPr>
        <w:t>Sistema visual atualizado • Agosto de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 xml:space="preserve">ATUALIZAÇÃO PRINCIPAL  </w:t>
            </w: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A assinatura verbal passa a ser “Soluções digitais”, substituindo “Digital Solutions”.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4B8A6"/>
          <w:sz w:val="18"/>
        </w:rPr>
        <w:t>01 • FUNDAMENTOS</w:t>
      </w:r>
    </w:p>
    <w:p>
      <w:pPr>
        <w:spacing w:after="100"/>
      </w:pPr>
      <w:r>
        <w:rPr>
          <w:rFonts w:ascii="Calibri" w:hAnsi="Calibri"/>
          <w:b/>
          <w:i w:val="0"/>
          <w:color w:val="0F172A"/>
          <w:sz w:val="50"/>
        </w:rPr>
        <w:t>Essência da marca</w:t>
      </w:r>
    </w:p>
    <w:p>
      <w:pPr>
        <w:spacing w:after="280"/>
      </w:pPr>
      <w:r>
        <w:rPr>
          <w:rFonts w:ascii="Calibri" w:hAnsi="Calibri"/>
          <w:b w:val="0"/>
          <w:i w:val="0"/>
          <w:color w:val="64748B"/>
          <w:sz w:val="25"/>
        </w:rPr>
        <w:t>Uma identidade de tecnologia com foco em clareza, crescimento e presença comercial.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 xml:space="preserve">CONCEITO CENTRAL  </w:t>
            </w: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Presença digital que transforma visibilidade em oportunidades de negócio.</w:t>
            </w:r>
          </w:p>
        </w:tc>
      </w:tr>
    </w:tbl>
    <w:p>
      <w:pPr>
        <w:spacing w:after="0"/>
      </w:pPr>
    </w:p>
    <w:p>
      <w:pPr>
        <w:pStyle w:val="Heading2"/>
      </w:pPr>
      <w:r>
        <w:t>Ideia visual</w:t>
      </w:r>
    </w:p>
    <w:p>
      <w:r>
        <w:t>O monograma combina a inicial M com formas ascendentes. A diagonal azul sugere movimento, evolução e tecnologia; o pilar verde-água reforça construção, continuidade e resultado.</w:t>
      </w:r>
    </w:p>
    <w:p>
      <w:pPr>
        <w:pStyle w:val="Heading2"/>
      </w:pPr>
      <w:r>
        <w:t>Personalidade</w:t>
      </w:r>
    </w:p>
    <w:p>
      <w:pPr>
        <w:pStyle w:val="ListBullet"/>
        <w:spacing w:after="80" w:line="300" w:lineRule="auto"/>
        <w:ind w:left="540" w:hanging="271"/>
      </w:pPr>
      <w:r>
        <w:t>Profissional e segura, sem parecer distante.</w:t>
      </w:r>
    </w:p>
    <w:p>
      <w:pPr>
        <w:pStyle w:val="ListBullet"/>
        <w:spacing w:after="80" w:line="300" w:lineRule="auto"/>
        <w:ind w:left="540" w:hanging="271"/>
      </w:pPr>
      <w:r>
        <w:t>Tecnológica, porém acessível para empresas de diferentes portes.</w:t>
      </w:r>
    </w:p>
    <w:p>
      <w:pPr>
        <w:pStyle w:val="ListBullet"/>
        <w:spacing w:after="80" w:line="300" w:lineRule="auto"/>
        <w:ind w:left="540" w:hanging="271"/>
      </w:pPr>
      <w:r>
        <w:t>Direta, orientada a resultado e visualmente organizada.</w:t>
      </w:r>
    </w:p>
    <w:p>
      <w:pPr>
        <w:pStyle w:val="ListBullet"/>
        <w:spacing w:after="80" w:line="300" w:lineRule="auto"/>
        <w:ind w:left="540" w:hanging="271"/>
      </w:pPr>
      <w:r>
        <w:t>Contemporânea, com contraste forte e acentos de energia.</w:t>
      </w:r>
    </w:p>
    <w:p>
      <w:pPr>
        <w:pStyle w:val="Heading2"/>
      </w:pPr>
      <w:r>
        <w:t>Assinatura verbal</w:t>
      </w:r>
    </w:p>
    <w:p>
      <w:r>
        <w:t>Nome: Mattos. Descritor: Soluções digitais. Conceito de apoio: Presença digital que gera negócios.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 xml:space="preserve">DIRETRIZ DE ESCRITA  </w:t>
            </w: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Em textos corridos, use “Soluções digitais”. Em peças gráficas, a caixa alta é permitida: “SOLUÇÕES DIGITAIS”.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4B8A6"/>
          <w:sz w:val="18"/>
        </w:rPr>
        <w:t>02 • SISTEMA DE LOGOS</w:t>
      </w:r>
    </w:p>
    <w:p>
      <w:pPr>
        <w:spacing w:after="100"/>
      </w:pPr>
      <w:r>
        <w:rPr>
          <w:rFonts w:ascii="Calibri" w:hAnsi="Calibri"/>
          <w:b/>
          <w:i w:val="0"/>
          <w:color w:val="0F172A"/>
          <w:sz w:val="50"/>
        </w:rPr>
        <w:t>Arquitetura da marca</w:t>
      </w:r>
    </w:p>
    <w:p>
      <w:pPr>
        <w:spacing w:after="280"/>
      </w:pPr>
      <w:r>
        <w:rPr>
          <w:rFonts w:ascii="Calibri" w:hAnsi="Calibri"/>
          <w:b w:val="0"/>
          <w:i w:val="0"/>
          <w:color w:val="64748B"/>
          <w:sz w:val="25"/>
        </w:rPr>
        <w:t>Escolha a assinatura conforme espaço, fundo e nível de reconhecimento necessário.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41932"/>
            <wp:docPr id="2" name="Picture 2" descr="Logo principal — versão institucional comple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o-principal-fundo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4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4748B"/>
          <w:sz w:val="17"/>
        </w:rPr>
        <w:t>Logo principal — versão institucional completa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741106"/>
                  <wp:docPr id="3" name="Picture 3" descr="Logo horizontal — cabeçalhos e assinatur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ogo-horizontal-fundo-cla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741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 descr="Monograma — avatar, favicon e espaços compact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monogram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64748B"/>
                <w:sz w:val="17"/>
              </w:rPr>
              <w:t>Logo horizontal — cabeçalhos e assinaturas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64748B"/>
                <w:sz w:val="17"/>
              </w:rPr>
              <w:t>Monograma — avatar, favicon e espaços compactos</w:t>
            </w:r>
          </w:p>
        </w:tc>
      </w:tr>
    </w:tbl>
    <w:p>
      <w:pPr>
        <w:pStyle w:val="Heading2"/>
      </w:pPr>
      <w:r>
        <w:t>Área de proteção</w:t>
      </w:r>
    </w:p>
    <w:p>
      <w:r>
        <w:t>Mantenha ao redor da marca uma margem mínima equivalente à largura do pilar verde-água do monograma. Não encoste textos, bordas, fotos ou outros símbolos nessa área.</w:t>
      </w:r>
    </w:p>
    <w:p>
      <w:pPr>
        <w:pStyle w:val="Heading2"/>
      </w:pPr>
      <w:r>
        <w:t>Tamanho mínimo recomendado</w:t>
      </w:r>
    </w:p>
    <w:p>
      <w:pPr>
        <w:pStyle w:val="ListBullet"/>
        <w:spacing w:after="80" w:line="300" w:lineRule="auto"/>
        <w:ind w:left="540" w:hanging="271"/>
      </w:pPr>
      <w:r>
        <w:t>Logo principal: 240 px em meios digitais.</w:t>
      </w:r>
    </w:p>
    <w:p>
      <w:pPr>
        <w:pStyle w:val="ListBullet"/>
        <w:spacing w:after="80" w:line="300" w:lineRule="auto"/>
        <w:ind w:left="540" w:hanging="271"/>
      </w:pPr>
      <w:r>
        <w:t>Logo horizontal: 180 px em meios digitais.</w:t>
      </w:r>
    </w:p>
    <w:p>
      <w:pPr>
        <w:pStyle w:val="ListBullet"/>
        <w:spacing w:after="80" w:line="300" w:lineRule="auto"/>
        <w:ind w:left="540" w:hanging="271"/>
      </w:pPr>
      <w:r>
        <w:t>Monograma: 32 px; abaixo disso, simplifique efeitos e sombras.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4B8A6"/>
          <w:sz w:val="18"/>
        </w:rPr>
        <w:t>03 • CORES E TIPOGRAFIA</w:t>
      </w:r>
    </w:p>
    <w:p>
      <w:pPr>
        <w:spacing w:after="100"/>
      </w:pPr>
      <w:r>
        <w:rPr>
          <w:rFonts w:ascii="Calibri" w:hAnsi="Calibri"/>
          <w:b/>
          <w:i w:val="0"/>
          <w:color w:val="0F172A"/>
          <w:sz w:val="50"/>
        </w:rPr>
        <w:t>Sistema visual</w:t>
      </w:r>
    </w:p>
    <w:p>
      <w:pPr>
        <w:spacing w:after="280"/>
      </w:pPr>
      <w:r>
        <w:rPr>
          <w:rFonts w:ascii="Calibri" w:hAnsi="Calibri"/>
          <w:b w:val="0"/>
          <w:i w:val="0"/>
          <w:color w:val="64748B"/>
          <w:sz w:val="25"/>
        </w:rPr>
        <w:t>A paleta equilibra confiança, dinamismo e inovação.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1800"/>
        <w:gridCol w:w="4260"/>
      </w:tblGrid>
      <w:tr>
        <w:trPr>
          <w:tblHeader w:val="true"/>
        </w:trPr>
        <w:tc>
          <w:tcPr>
            <w:tcW w:type="dxa" w:w="1800"/>
            <w:shd w:fill="0F172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500"/>
            <w:shd w:fill="0F172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HEX</w:t>
            </w:r>
          </w:p>
        </w:tc>
        <w:tc>
          <w:tcPr>
            <w:tcW w:type="dxa" w:w="1800"/>
            <w:shd w:fill="0F172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PAPEL</w:t>
            </w:r>
          </w:p>
        </w:tc>
        <w:tc>
          <w:tcPr>
            <w:tcW w:type="dxa" w:w="4260"/>
            <w:shd w:fill="0F172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PRINCIPAL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Deep Navy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#071A3A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Base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Fundos e contraste</w:t>
            </w:r>
          </w:p>
        </w:tc>
      </w:tr>
      <w:t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Electric Blue</w:t>
            </w:r>
          </w:p>
        </w:tc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#2563EB</w:t>
            </w:r>
          </w:p>
        </w:tc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Ação</w:t>
            </w:r>
          </w:p>
        </w:tc>
        <w:tc>
          <w:tcPr>
            <w:tcW w:type="dxa" w:w="42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Destaques e tecnologia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Teal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#14B8A6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Crescimento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Resultados e chamadas</w:t>
            </w:r>
          </w:p>
        </w:tc>
      </w:tr>
      <w:t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Slate Gray</w:t>
            </w:r>
          </w:p>
        </w:tc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#64748B</w:t>
            </w:r>
          </w:p>
        </w:tc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Apoio</w:t>
            </w:r>
          </w:p>
        </w:tc>
        <w:tc>
          <w:tcPr>
            <w:tcW w:type="dxa" w:w="42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Textos secundários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Off White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#F8FAFC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Respiro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Fundos claros</w:t>
            </w:r>
          </w:p>
        </w:tc>
      </w:tr>
    </w:tbl>
    <w:p>
      <w:pPr>
        <w:pStyle w:val="Heading2"/>
      </w:pPr>
      <w:r>
        <w:t>Tipografia</w:t>
      </w:r>
    </w:p>
    <w:p>
      <w:r>
        <w:t>Poppins Bold é a referência para títulos e destaques. Inter Regular é indicada para textos, informações e interfaces. Quando essas fontes não estiverem disponíveis, use Arial Bold e Arial como substitutas seguras.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 xml:space="preserve">EXEMPLO DE HIERARQUIA  </w:t>
            </w: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Sua empresa. Mais visível. Mais clientes. Mais resultados.</w:t>
            </w:r>
          </w:p>
        </w:tc>
      </w:tr>
    </w:tbl>
    <w:p>
      <w:pPr>
        <w:spacing w:after="0"/>
      </w:pPr>
    </w:p>
    <w:p>
      <w:pPr>
        <w:pStyle w:val="Heading2"/>
      </w:pPr>
      <w:r>
        <w:t>Proporção de uso</w:t>
      </w:r>
    </w:p>
    <w:p>
      <w:pPr>
        <w:pStyle w:val="ListBullet"/>
        <w:spacing w:after="80" w:line="300" w:lineRule="auto"/>
        <w:ind w:left="540" w:hanging="271"/>
      </w:pPr>
      <w:r>
        <w:t>60% fundos claros ou off-white.</w:t>
      </w:r>
    </w:p>
    <w:p>
      <w:pPr>
        <w:pStyle w:val="ListBullet"/>
        <w:spacing w:after="80" w:line="300" w:lineRule="auto"/>
        <w:ind w:left="540" w:hanging="271"/>
      </w:pPr>
      <w:r>
        <w:t>25% azul-marinho para peças de alto contraste.</w:t>
      </w:r>
    </w:p>
    <w:p>
      <w:pPr>
        <w:pStyle w:val="ListBullet"/>
        <w:spacing w:after="80" w:line="300" w:lineRule="auto"/>
        <w:ind w:left="540" w:hanging="271"/>
      </w:pPr>
      <w:r>
        <w:t>10% azul elétrico para ação e ênfase.</w:t>
      </w:r>
    </w:p>
    <w:p>
      <w:pPr>
        <w:pStyle w:val="ListBullet"/>
        <w:spacing w:after="80" w:line="300" w:lineRule="auto"/>
        <w:ind w:left="540" w:hanging="271"/>
      </w:pPr>
      <w:r>
        <w:t>5% teal para resultados, crescimento e pontos de atenção.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4B8A6"/>
          <w:sz w:val="18"/>
        </w:rPr>
        <w:t>04 • REDES SOCIAIS</w:t>
      </w:r>
    </w:p>
    <w:p>
      <w:pPr>
        <w:spacing w:after="100"/>
      </w:pPr>
      <w:r>
        <w:rPr>
          <w:rFonts w:ascii="Calibri" w:hAnsi="Calibri"/>
          <w:b/>
          <w:i w:val="0"/>
          <w:color w:val="0F172A"/>
          <w:sz w:val="50"/>
        </w:rPr>
        <w:t>Aplicações digitais</w:t>
      </w:r>
    </w:p>
    <w:p>
      <w:pPr>
        <w:spacing w:after="280"/>
      </w:pPr>
      <w:r>
        <w:rPr>
          <w:rFonts w:ascii="Calibri" w:hAnsi="Calibri"/>
          <w:b w:val="0"/>
          <w:i w:val="0"/>
          <w:color w:val="64748B"/>
          <w:sz w:val="25"/>
        </w:rPr>
        <w:t>Arquivos dimensionados para perfil e feed do Instagram.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514600"/>
                  <wp:docPr id="5" name="Picture 5" descr="Avatar institucional — 1080 × 1080 p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vatar-instagr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2914650"/>
                  <wp:docPr id="6" name="Picture 6" descr="Assinatura para feed — 1080 × 1350 p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assinatura-post-inst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14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64748B"/>
                <w:sz w:val="17"/>
              </w:rPr>
              <w:t>Avatar institucional — 1080 × 1080 px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64748B"/>
                <w:sz w:val="17"/>
              </w:rPr>
              <w:t>Assinatura para feed — 1080 × 1350 px</w:t>
            </w:r>
          </w:p>
        </w:tc>
      </w:tr>
    </w:tbl>
    <w:p>
      <w:pPr>
        <w:pStyle w:val="Heading2"/>
      </w:pPr>
      <w:r>
        <w:t>Boas práticas</w:t>
      </w:r>
    </w:p>
    <w:p>
      <w:pPr>
        <w:pStyle w:val="ListBullet"/>
        <w:spacing w:after="80" w:line="300" w:lineRule="auto"/>
        <w:ind w:left="540" w:hanging="271"/>
      </w:pPr>
      <w:r>
        <w:t>Use o monograma no avatar; ele permanece reconhecível em miniatura.</w:t>
      </w:r>
    </w:p>
    <w:p>
      <w:pPr>
        <w:pStyle w:val="ListBullet"/>
        <w:spacing w:after="80" w:line="300" w:lineRule="auto"/>
        <w:ind w:left="540" w:hanging="271"/>
      </w:pPr>
      <w:r>
        <w:t>Em posts, reserve uma faixa de respiro ao redor do logo e evite fundos visualmente ruidosos.</w:t>
      </w:r>
    </w:p>
    <w:p>
      <w:pPr>
        <w:pStyle w:val="ListBullet"/>
        <w:spacing w:after="80" w:line="300" w:lineRule="auto"/>
        <w:ind w:left="540" w:hanging="271"/>
      </w:pPr>
      <w:r>
        <w:t>Prefira o logo claro sobre fundos escuros e o logo azul-marinho sobre fundos brancos.</w:t>
      </w:r>
    </w:p>
    <w:p>
      <w:pPr>
        <w:pStyle w:val="ListBullet"/>
        <w:spacing w:after="80" w:line="300" w:lineRule="auto"/>
        <w:ind w:left="540" w:hanging="271"/>
      </w:pPr>
      <w:r>
        <w:t>Não altere cores, proporções, espaçamentos ou a posição relativa do descritor.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 xml:space="preserve">ARQUIVO RECOMENDADO  </w:t>
            </w: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Para sobrepor a marca em posts, use a versão PNG transparente. Para máxima qualidade, preserve também o SVG.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4B8A6"/>
          <w:sz w:val="18"/>
        </w:rPr>
        <w:t>05 • CARTÃO DE VISITA</w:t>
      </w:r>
    </w:p>
    <w:p>
      <w:pPr>
        <w:spacing w:after="100"/>
      </w:pPr>
      <w:r>
        <w:rPr>
          <w:rFonts w:ascii="Calibri" w:hAnsi="Calibri"/>
          <w:b/>
          <w:i w:val="0"/>
          <w:color w:val="0F172A"/>
          <w:sz w:val="50"/>
        </w:rPr>
        <w:t>Aplicação impressa</w:t>
      </w:r>
    </w:p>
    <w:p>
      <w:pPr>
        <w:spacing w:after="280"/>
      </w:pPr>
      <w:r>
        <w:rPr>
          <w:rFonts w:ascii="Calibri" w:hAnsi="Calibri"/>
          <w:b w:val="0"/>
          <w:i w:val="0"/>
          <w:color w:val="64748B"/>
          <w:sz w:val="25"/>
        </w:rPr>
        <w:t>Modelo horizontal em 3,5 × 2 polegadas, exportado a 300 dpi.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00600" cy="2743200"/>
            <wp:docPr id="7" name="Picture 7" descr="Frente — assinatura institucional em fundo azul-marinh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rtao-visita-fre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4748B"/>
          <w:sz w:val="17"/>
        </w:rPr>
        <w:t>Frente — assinatura institucional em fundo azul-marinho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00600" cy="2743200"/>
            <wp:docPr id="8" name="Picture 8" descr="Verso — dados profissionais e canais de conta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rtao-visita-verso-edita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4748B"/>
          <w:sz w:val="17"/>
        </w:rPr>
        <w:t>Verso — dados profissionais e canais de contato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 xml:space="preserve">ANTES DE IMPRIMIR  </w:t>
            </w: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Substitua “Seu Nome”, cargo, telefone e demais canais. Confirme domínio e usuário do Instagram. Solicite à gráfica sangria de 3 mm e mantenha textos a pelo menos 4 mm do corte.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4B8A6"/>
          <w:sz w:val="18"/>
        </w:rPr>
        <w:t>06 • GOVERNANÇA E ARQUIVOS</w:t>
      </w:r>
    </w:p>
    <w:p>
      <w:pPr>
        <w:spacing w:after="100"/>
      </w:pPr>
      <w:r>
        <w:rPr>
          <w:rFonts w:ascii="Calibri" w:hAnsi="Calibri"/>
          <w:b/>
          <w:i w:val="0"/>
          <w:color w:val="0F172A"/>
          <w:sz w:val="50"/>
        </w:rPr>
        <w:t>Como reutilizar o kit</w:t>
      </w:r>
    </w:p>
    <w:p>
      <w:pPr>
        <w:spacing w:after="280"/>
      </w:pPr>
      <w:r>
        <w:rPr>
          <w:rFonts w:ascii="Calibri" w:hAnsi="Calibri"/>
          <w:b w:val="0"/>
          <w:i w:val="0"/>
          <w:color w:val="64748B"/>
          <w:sz w:val="25"/>
        </w:rPr>
        <w:t>Mantenha os arquivos-fonte e derive novas peças sempre a partir deles.</w:t>
      </w:r>
    </w:p>
    <w:p>
      <w:pPr>
        <w:pStyle w:val="Heading2"/>
      </w:pPr>
      <w:r>
        <w:t>O que não fazer</w:t>
      </w:r>
    </w:p>
    <w:p>
      <w:pPr>
        <w:pStyle w:val="ListBullet"/>
        <w:spacing w:after="80" w:line="300" w:lineRule="auto"/>
        <w:ind w:left="540" w:hanging="271"/>
      </w:pPr>
      <w:r>
        <w:t>Não esticar, inclinar ou redesenhar o monograma.</w:t>
      </w:r>
    </w:p>
    <w:p>
      <w:pPr>
        <w:pStyle w:val="ListBullet"/>
        <w:spacing w:after="80" w:line="300" w:lineRule="auto"/>
        <w:ind w:left="540" w:hanging="271"/>
      </w:pPr>
      <w:r>
        <w:t>Não substituir o azul e o teal por cores aleatórias.</w:t>
      </w:r>
    </w:p>
    <w:p>
      <w:pPr>
        <w:pStyle w:val="ListBullet"/>
        <w:spacing w:after="80" w:line="300" w:lineRule="auto"/>
        <w:ind w:left="540" w:hanging="271"/>
      </w:pPr>
      <w:r>
        <w:t>Não aplicar sombras pesadas, contornos ou efeitos 3D sobre o logo.</w:t>
      </w:r>
    </w:p>
    <w:p>
      <w:pPr>
        <w:pStyle w:val="ListBullet"/>
        <w:spacing w:after="80" w:line="300" w:lineRule="auto"/>
        <w:ind w:left="540" w:hanging="271"/>
      </w:pPr>
      <w:r>
        <w:t>Não voltar a usar “Digital Solutions” em novas peças.</w:t>
      </w:r>
    </w:p>
    <w:p>
      <w:pPr>
        <w:pStyle w:val="ListBullet"/>
        <w:spacing w:after="80" w:line="300" w:lineRule="auto"/>
        <w:ind w:left="540" w:hanging="271"/>
      </w:pPr>
      <w:r>
        <w:t>Não posicionar a versão escura sobre fundos de baixo contraste.</w:t>
      </w:r>
    </w:p>
    <w:p>
      <w:pPr>
        <w:pStyle w:val="Heading2"/>
      </w:pPr>
      <w:r>
        <w:t>Índice de entregáveis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shd w:fill="0F172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PASTA</w:t>
            </w:r>
          </w:p>
        </w:tc>
        <w:tc>
          <w:tcPr>
            <w:tcW w:type="dxa" w:w="1500"/>
            <w:shd w:fill="0F172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5760"/>
            <w:shd w:fill="0F172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imagens/01–05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Logos para fundo claro, escuro e transparente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imagens/06–07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Avatar e assinatura para Instagram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imagens/08–09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Cartão de visita — frente e verso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vetores/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SVG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Fontes editáveis e escaláveis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Guia de Marca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DOCX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Conceito, padrões e instruções de uso</w:t>
            </w:r>
          </w:p>
        </w:tc>
      </w:tr>
    </w:tbl>
    <w:p>
      <w:pPr>
        <w:pStyle w:val="Heading2"/>
      </w:pPr>
      <w:r>
        <w:t>Fluxo recomendado</w:t>
      </w:r>
    </w:p>
    <w:p>
      <w:pPr>
        <w:pStyle w:val="ListBullet"/>
        <w:spacing w:after="80" w:line="300" w:lineRule="auto"/>
        <w:ind w:left="540" w:hanging="271"/>
      </w:pPr>
      <w:r>
        <w:t>Escolha o formato da peça e defina o fundo.</w:t>
      </w:r>
    </w:p>
    <w:p>
      <w:pPr>
        <w:pStyle w:val="ListBullet"/>
        <w:spacing w:after="80" w:line="300" w:lineRule="auto"/>
        <w:ind w:left="540" w:hanging="271"/>
      </w:pPr>
      <w:r>
        <w:t>Selecione a versão correta do logo.</w:t>
      </w:r>
    </w:p>
    <w:p>
      <w:pPr>
        <w:pStyle w:val="ListBullet"/>
        <w:spacing w:after="80" w:line="300" w:lineRule="auto"/>
        <w:ind w:left="540" w:hanging="271"/>
      </w:pPr>
      <w:r>
        <w:t>Aplique a paleta e a tipografia conforme este guia.</w:t>
      </w:r>
    </w:p>
    <w:p>
      <w:pPr>
        <w:pStyle w:val="ListBullet"/>
        <w:spacing w:after="80" w:line="300" w:lineRule="auto"/>
        <w:ind w:left="540" w:hanging="271"/>
      </w:pPr>
      <w:r>
        <w:t>Revise contraste, margens e legibilidade em tamanho real.</w:t>
      </w:r>
    </w:p>
    <w:p>
      <w:pPr>
        <w:pStyle w:val="ListBullet"/>
        <w:spacing w:after="80" w:line="300" w:lineRule="auto"/>
        <w:ind w:left="540" w:hanging="271"/>
      </w:pPr>
      <w:r>
        <w:t>Exporte em PNG para redes sociais e mantenha o SVG como matriz.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B8A6"/>
                <w:sz w:val="18"/>
              </w:rPr>
              <w:t xml:space="preserve">DOCUMENTO VIVO  </w:t>
            </w: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Atualize este guia quando houver novos serviços, canais, slogans ou padrões de campanha.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i w:val="0"/>
        <w:color w:val="64748B"/>
        <w:sz w:val="17"/>
      </w:rPr>
      <w:t xml:space="preserve">MATTOS • GUIA DE MARCA   | 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7"/>
      </w:rPr>
      <w:t>MATTOS SOLUÇÕES DIGITAIS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Marca — Mattos Soluções Digitais</dc:title>
  <dc:subject>Identidade visual, aplicações e padrões de uso</dc:subject>
  <dc:creator>Mattos Soluções Digitais</dc:creator>
  <cp:keywords>Mattos, soluções digitais, marca, logo, Instagram, cartão de visita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