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1F3864"/>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 inclusive com os feriados locais e as suspensões de expediente cadastrados pelo escritório — e lançando-o na agenda; a gerar cobranças por PIX para cada parcela de honorários; a redigir, com apoio da IA, atualizações do andamento em linguagem simples para o cliente; a enviar notificações push ao celular; a exportar a agenda para aplicativos de calendário; e a preencher os dados de uma empresa a partir do CNPJ, consultando o cadastro público da Receita Federal. O funcionamento é verificado por testes automatizados em três níveis — API, componentes de interface e ponta a ponta, este último com checagem de acessibilidade —, previstos no fluxo de integração contínua e também executados localmente, e a API é documentada no padrão OpenAPI. A auditoria final aprovou 841 casos automatizados e classificou o escopo local como apto com ressalvas, incluindo a cobertura insuficiente de testes de componentes do frontend e verificações operacionais ainda pendentes. O uso é gratuito para começar: todo escritório novo entra no plano Gratuito, sem pagamento, e os planos pagos (Básico e Profissional) ampliam os limites de usuários e processos e incluem as automações e a inteligência artificial.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1F3864"/>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20</w:t>
      </w:r>
    </w:p>
    <w:p>
      <w:pPr>
        <w:tabs>
          <w:tab w:val="right" w:pos="9071" w:leader="dot"/>
        </w:tabs>
        <w:spacing w:after="60"/>
        <w:ind w:left="360"/>
      </w:pPr>
      <w:r>
        <w:rPr>
          <w:sz w:val="22"/>
          <w:szCs w:val="22"/>
        </w:rPr>
        <w:t xml:space="preserve">4.1. Diagrama de Casos de Uso</w:t>
      </w:r>
      <w:r>
        <w:rPr>
          <w:sz w:val="22"/>
          <w:szCs w:val="22"/>
        </w:rPr>
        <w:t xml:space="preserve">	20</w:t>
      </w:r>
    </w:p>
    <w:p>
      <w:pPr>
        <w:tabs>
          <w:tab w:val="right" w:pos="9071" w:leader="dot"/>
        </w:tabs>
        <w:spacing w:after="60"/>
        <w:ind w:left="360"/>
      </w:pPr>
      <w:r>
        <w:rPr>
          <w:sz w:val="22"/>
          <w:szCs w:val="22"/>
        </w:rPr>
        <w:t xml:space="preserve">4.2. Especificação dos Casos de Uso</w:t>
      </w:r>
      <w:r>
        <w:rPr>
          <w:sz w:val="22"/>
          <w:szCs w:val="22"/>
        </w:rPr>
        <w:t xml:space="preserve">	23</w:t>
      </w:r>
    </w:p>
    <w:p>
      <w:pPr>
        <w:tabs>
          <w:tab w:val="right" w:pos="9071" w:leader="dot"/>
        </w:tabs>
        <w:spacing w:after="60"/>
        <w:ind w:left="360"/>
      </w:pPr>
      <w:r>
        <w:rPr>
          <w:sz w:val="22"/>
          <w:szCs w:val="22"/>
        </w:rPr>
        <w:t xml:space="preserve">4.3. Diagrama de Classes</w:t>
      </w:r>
      <w:r>
        <w:rPr>
          <w:sz w:val="22"/>
          <w:szCs w:val="22"/>
        </w:rPr>
        <w:t xml:space="preserve">	25</w:t>
      </w:r>
    </w:p>
    <w:p>
      <w:pPr>
        <w:tabs>
          <w:tab w:val="right" w:pos="9071" w:leader="dot"/>
        </w:tabs>
        <w:spacing w:after="60"/>
        <w:ind w:left="360"/>
      </w:pPr>
      <w:r>
        <w:rPr>
          <w:sz w:val="22"/>
          <w:szCs w:val="22"/>
        </w:rPr>
        <w:t xml:space="preserve">4.4. Diagramas de Sequência</w:t>
      </w:r>
      <w:r>
        <w:rPr>
          <w:sz w:val="22"/>
          <w:szCs w:val="22"/>
        </w:rPr>
        <w:t xml:space="preserve">	26</w:t>
      </w:r>
    </w:p>
    <w:p>
      <w:pPr>
        <w:tabs>
          <w:tab w:val="right" w:pos="9071" w:leader="dot"/>
        </w:tabs>
        <w:spacing w:after="60"/>
        <w:ind w:left="0"/>
      </w:pPr>
      <w:r>
        <w:rPr>
          <w:sz w:val="22"/>
          <w:szCs w:val="22"/>
        </w:rPr>
        <w:t xml:space="preserve">5. Modelagem de Dados</w:t>
      </w:r>
      <w:r>
        <w:rPr>
          <w:sz w:val="22"/>
          <w:szCs w:val="22"/>
        </w:rPr>
        <w:t xml:space="preserve">	28</w:t>
      </w:r>
    </w:p>
    <w:p>
      <w:pPr>
        <w:tabs>
          <w:tab w:val="right" w:pos="9071" w:leader="dot"/>
        </w:tabs>
        <w:spacing w:after="60"/>
        <w:ind w:left="0"/>
      </w:pPr>
      <w:r>
        <w:rPr>
          <w:sz w:val="22"/>
          <w:szCs w:val="22"/>
        </w:rPr>
        <w:t xml:space="preserve">6. Protótipos das Funcionalidades Principais</w:t>
      </w:r>
      <w:r>
        <w:rPr>
          <w:sz w:val="22"/>
          <w:szCs w:val="22"/>
        </w:rPr>
        <w:t xml:space="preserve">	30</w:t>
      </w:r>
    </w:p>
    <w:p>
      <w:pPr>
        <w:tabs>
          <w:tab w:val="right" w:pos="9071" w:leader="dot"/>
        </w:tabs>
        <w:spacing w:after="60"/>
        <w:ind w:left="360"/>
      </w:pPr>
      <w:r>
        <w:rPr>
          <w:sz w:val="22"/>
          <w:szCs w:val="22"/>
        </w:rPr>
        <w:t xml:space="preserve">6.1. Tela de Login</w:t>
      </w:r>
      <w:r>
        <w:rPr>
          <w:sz w:val="22"/>
          <w:szCs w:val="22"/>
        </w:rPr>
        <w:t xml:space="preserve">	31</w:t>
      </w:r>
    </w:p>
    <w:p>
      <w:pPr>
        <w:tabs>
          <w:tab w:val="right" w:pos="9071" w:leader="dot"/>
        </w:tabs>
        <w:spacing w:after="60"/>
        <w:ind w:left="360"/>
      </w:pPr>
      <w:r>
        <w:rPr>
          <w:sz w:val="22"/>
          <w:szCs w:val="22"/>
        </w:rPr>
        <w:t xml:space="preserve">6.2. Painel do Escritório (Dashboard)</w:t>
      </w:r>
      <w:r>
        <w:rPr>
          <w:sz w:val="22"/>
          <w:szCs w:val="22"/>
        </w:rPr>
        <w:t xml:space="preserve">	31</w:t>
      </w:r>
    </w:p>
    <w:p>
      <w:pPr>
        <w:tabs>
          <w:tab w:val="right" w:pos="9071" w:leader="dot"/>
        </w:tabs>
        <w:spacing w:after="60"/>
        <w:ind w:left="360"/>
      </w:pPr>
      <w:r>
        <w:rPr>
          <w:sz w:val="22"/>
          <w:szCs w:val="22"/>
        </w:rPr>
        <w:t xml:space="preserve">6.3. Contratos e Honorários</w:t>
      </w:r>
      <w:r>
        <w:rPr>
          <w:sz w:val="22"/>
          <w:szCs w:val="22"/>
        </w:rPr>
        <w:t xml:space="preserve">	32</w:t>
      </w:r>
    </w:p>
    <w:p>
      <w:pPr>
        <w:tabs>
          <w:tab w:val="right" w:pos="9071" w:leader="dot"/>
        </w:tabs>
        <w:spacing w:after="60"/>
        <w:ind w:left="360"/>
      </w:pPr>
      <w:r>
        <w:rPr>
          <w:sz w:val="22"/>
          <w:szCs w:val="22"/>
        </w:rPr>
        <w:t xml:space="preserve">6.4. Painel Mestre (Administrador do Sistema)</w:t>
      </w:r>
      <w:r>
        <w:rPr>
          <w:sz w:val="22"/>
          <w:szCs w:val="22"/>
        </w:rPr>
        <w:t xml:space="preserve">	32</w:t>
      </w:r>
    </w:p>
    <w:p>
      <w:pPr>
        <w:tabs>
          <w:tab w:val="right" w:pos="9071" w:leader="dot"/>
        </w:tabs>
        <w:spacing w:after="60"/>
        <w:ind w:left="360"/>
      </w:pPr>
      <w:r>
        <w:rPr>
          <w:sz w:val="22"/>
          <w:szCs w:val="22"/>
        </w:rPr>
        <w:t xml:space="preserve">6.5. Registro de Auditoria</w:t>
      </w:r>
      <w:r>
        <w:rPr>
          <w:sz w:val="22"/>
          <w:szCs w:val="22"/>
        </w:rPr>
        <w:t xml:space="preserve">	33</w:t>
      </w:r>
    </w:p>
    <w:p>
      <w:pPr>
        <w:tabs>
          <w:tab w:val="right" w:pos="9071" w:leader="dot"/>
        </w:tabs>
        <w:spacing w:after="60"/>
        <w:ind w:left="360"/>
      </w:pPr>
      <w:r>
        <w:rPr>
          <w:sz w:val="22"/>
          <w:szCs w:val="22"/>
        </w:rPr>
        <w:t xml:space="preserve">6.6. Cálculo de Prazo em Dias Úteis</w:t>
      </w:r>
      <w:r>
        <w:rPr>
          <w:sz w:val="22"/>
          <w:szCs w:val="22"/>
        </w:rPr>
        <w:t xml:space="preserve">	33</w:t>
      </w:r>
    </w:p>
    <w:p>
      <w:pPr>
        <w:tabs>
          <w:tab w:val="right" w:pos="9071" w:leader="dot"/>
        </w:tabs>
        <w:spacing w:after="60"/>
        <w:ind w:left="360"/>
      </w:pPr>
      <w:r>
        <w:rPr>
          <w:sz w:val="22"/>
          <w:szCs w:val="22"/>
        </w:rPr>
        <w:t xml:space="preserve">6.7. Horas Trabalhadas e Despesas Processuais</w:t>
      </w:r>
      <w:r>
        <w:rPr>
          <w:sz w:val="22"/>
          <w:szCs w:val="22"/>
        </w:rPr>
        <w:t xml:space="preserve">	34</w:t>
      </w:r>
    </w:p>
    <w:p>
      <w:pPr>
        <w:tabs>
          <w:tab w:val="right" w:pos="9071" w:leader="dot"/>
        </w:tabs>
        <w:spacing w:after="60"/>
        <w:ind w:left="360"/>
      </w:pPr>
      <w:r>
        <w:rPr>
          <w:sz w:val="22"/>
          <w:szCs w:val="22"/>
        </w:rPr>
        <w:t xml:space="preserve">6.8. Consulta Processual no DataJud</w:t>
      </w:r>
      <w:r>
        <w:rPr>
          <w:sz w:val="22"/>
          <w:szCs w:val="22"/>
        </w:rPr>
        <w:t xml:space="preserve">	35</w:t>
      </w:r>
    </w:p>
    <w:p>
      <w:pPr>
        <w:tabs>
          <w:tab w:val="right" w:pos="9071" w:leader="dot"/>
        </w:tabs>
        <w:spacing w:after="60"/>
        <w:ind w:left="360"/>
      </w:pPr>
      <w:r>
        <w:rPr>
          <w:sz w:val="22"/>
          <w:szCs w:val="22"/>
        </w:rPr>
        <w:t xml:space="preserve">6.9. Modelos de Documento</w:t>
      </w:r>
      <w:r>
        <w:rPr>
          <w:sz w:val="22"/>
          <w:szCs w:val="22"/>
        </w:rPr>
        <w:t xml:space="preserve">	36</w:t>
      </w:r>
    </w:p>
    <w:p>
      <w:pPr>
        <w:tabs>
          <w:tab w:val="right" w:pos="9071" w:leader="dot"/>
        </w:tabs>
        <w:spacing w:after="60"/>
        <w:ind w:left="360"/>
      </w:pPr>
      <w:r>
        <w:rPr>
          <w:sz w:val="22"/>
          <w:szCs w:val="22"/>
        </w:rPr>
        <w:t xml:space="preserve">6.10. Indicadores Financeiros do Escritório</w:t>
      </w:r>
      <w:r>
        <w:rPr>
          <w:sz w:val="22"/>
          <w:szCs w:val="22"/>
        </w:rPr>
        <w:t xml:space="preserve">	36</w:t>
      </w:r>
    </w:p>
    <w:p>
      <w:pPr>
        <w:tabs>
          <w:tab w:val="right" w:pos="9071" w:leader="dot"/>
        </w:tabs>
        <w:spacing w:after="60"/>
        <w:ind w:left="360"/>
      </w:pPr>
      <w:r>
        <w:rPr>
          <w:sz w:val="22"/>
          <w:szCs w:val="22"/>
        </w:rPr>
        <w:t xml:space="preserve">6.11. Tarefas do Escritório</w:t>
      </w:r>
      <w:r>
        <w:rPr>
          <w:sz w:val="22"/>
          <w:szCs w:val="22"/>
        </w:rPr>
        <w:t xml:space="preserve">	37</w:t>
      </w:r>
    </w:p>
    <w:p>
      <w:pPr>
        <w:tabs>
          <w:tab w:val="right" w:pos="9071" w:leader="dot"/>
        </w:tabs>
        <w:spacing w:after="60"/>
        <w:ind w:left="360"/>
      </w:pPr>
      <w:r>
        <w:rPr>
          <w:sz w:val="22"/>
          <w:szCs w:val="22"/>
        </w:rPr>
        <w:t xml:space="preserve">6.12. Busca Global</w:t>
      </w:r>
      <w:r>
        <w:rPr>
          <w:sz w:val="22"/>
          <w:szCs w:val="22"/>
        </w:rPr>
        <w:t xml:space="preserve">	37</w:t>
      </w:r>
    </w:p>
    <w:p>
      <w:pPr>
        <w:tabs>
          <w:tab w:val="right" w:pos="9071" w:leader="dot"/>
        </w:tabs>
        <w:spacing w:after="60"/>
        <w:ind w:left="360"/>
      </w:pPr>
      <w:r>
        <w:rPr>
          <w:sz w:val="22"/>
          <w:szCs w:val="22"/>
        </w:rPr>
        <w:t xml:space="preserve">6.13. Central de Ajuda</w:t>
      </w:r>
      <w:r>
        <w:rPr>
          <w:sz w:val="22"/>
          <w:szCs w:val="22"/>
        </w:rPr>
        <w:t xml:space="preserve">	38</w:t>
      </w:r>
    </w:p>
    <w:p>
      <w:pPr>
        <w:tabs>
          <w:tab w:val="right" w:pos="9071" w:leader="dot"/>
        </w:tabs>
        <w:spacing w:after="60"/>
        <w:ind w:left="360"/>
      </w:pPr>
      <w:r>
        <w:rPr>
          <w:sz w:val="22"/>
          <w:szCs w:val="22"/>
        </w:rPr>
        <w:t xml:space="preserve">6.14. Perfis de Acesso e Equipe</w:t>
      </w:r>
      <w:r>
        <w:rPr>
          <w:sz w:val="22"/>
          <w:szCs w:val="22"/>
        </w:rPr>
        <w:t xml:space="preserve">	39</w:t>
      </w:r>
    </w:p>
    <w:p>
      <w:pPr>
        <w:tabs>
          <w:tab w:val="right" w:pos="9071" w:leader="dot"/>
        </w:tabs>
        <w:spacing w:after="60"/>
        <w:ind w:left="360"/>
      </w:pPr>
      <w:r>
        <w:rPr>
          <w:sz w:val="22"/>
          <w:szCs w:val="22"/>
        </w:rPr>
        <w:t xml:space="preserve">6.15. Processo em Segredo de Justiça</w:t>
      </w:r>
      <w:r>
        <w:rPr>
          <w:sz w:val="22"/>
          <w:szCs w:val="22"/>
        </w:rPr>
        <w:t xml:space="preserve">	40</w:t>
      </w:r>
    </w:p>
    <w:p>
      <w:pPr>
        <w:tabs>
          <w:tab w:val="right" w:pos="9071" w:leader="dot"/>
        </w:tabs>
        <w:spacing w:after="60"/>
        <w:ind w:left="360"/>
      </w:pPr>
      <w:r>
        <w:rPr>
          <w:sz w:val="22"/>
          <w:szCs w:val="22"/>
        </w:rPr>
        <w:t xml:space="preserve">6.16. Verificação em Duas Etapas</w:t>
      </w:r>
      <w:r>
        <w:rPr>
          <w:sz w:val="22"/>
          <w:szCs w:val="22"/>
        </w:rPr>
        <w:t xml:space="preserve">	40</w:t>
      </w:r>
    </w:p>
    <w:p>
      <w:pPr>
        <w:tabs>
          <w:tab w:val="right" w:pos="9071" w:leader="dot"/>
        </w:tabs>
        <w:spacing w:after="60"/>
        <w:ind w:left="360"/>
      </w:pPr>
      <w:r>
        <w:rPr>
          <w:sz w:val="22"/>
          <w:szCs w:val="22"/>
        </w:rPr>
        <w:t xml:space="preserve">6.17. Direitos do Titular (LGPD)</w:t>
      </w:r>
      <w:r>
        <w:rPr>
          <w:sz w:val="22"/>
          <w:szCs w:val="22"/>
        </w:rPr>
        <w:t xml:space="preserve">	41</w:t>
      </w:r>
    </w:p>
    <w:p>
      <w:pPr>
        <w:tabs>
          <w:tab w:val="right" w:pos="9071" w:leader="dot"/>
        </w:tabs>
        <w:spacing w:after="60"/>
        <w:ind w:left="360"/>
      </w:pPr>
      <w:r>
        <w:rPr>
          <w:sz w:val="22"/>
          <w:szCs w:val="22"/>
        </w:rPr>
        <w:t xml:space="preserve">6.18. Intimações do DJEN</w:t>
      </w:r>
      <w:r>
        <w:rPr>
          <w:sz w:val="22"/>
          <w:szCs w:val="22"/>
        </w:rPr>
        <w:t xml:space="preserve">	42</w:t>
      </w:r>
    </w:p>
    <w:p>
      <w:pPr>
        <w:tabs>
          <w:tab w:val="right" w:pos="9071" w:leader="dot"/>
        </w:tabs>
        <w:spacing w:after="60"/>
        <w:ind w:left="360"/>
      </w:pPr>
      <w:r>
        <w:rPr>
          <w:sz w:val="22"/>
          <w:szCs w:val="22"/>
        </w:rPr>
        <w:t xml:space="preserve">6.19. Cobrança por PIX</w:t>
      </w:r>
      <w:r>
        <w:rPr>
          <w:sz w:val="22"/>
          <w:szCs w:val="22"/>
        </w:rPr>
        <w:t xml:space="preserve">	43</w:t>
      </w:r>
    </w:p>
    <w:p>
      <w:pPr>
        <w:tabs>
          <w:tab w:val="right" w:pos="9071" w:leader="dot"/>
        </w:tabs>
        <w:spacing w:after="60"/>
        <w:ind w:left="360"/>
      </w:pPr>
      <w:r>
        <w:rPr>
          <w:sz w:val="22"/>
          <w:szCs w:val="22"/>
        </w:rPr>
        <w:t xml:space="preserve">6.20. Atualização do Cliente</w:t>
      </w:r>
      <w:r>
        <w:rPr>
          <w:sz w:val="22"/>
          <w:szCs w:val="22"/>
        </w:rPr>
        <w:t xml:space="preserve">	43</w:t>
      </w:r>
    </w:p>
    <w:p>
      <w:pPr>
        <w:tabs>
          <w:tab w:val="right" w:pos="9071" w:leader="dot"/>
        </w:tabs>
        <w:spacing w:after="60"/>
        <w:ind w:left="360"/>
      </w:pPr>
      <w:r>
        <w:rPr>
          <w:sz w:val="22"/>
          <w:szCs w:val="22"/>
        </w:rPr>
        <w:t xml:space="preserve">6.21. Quadro de Tarefas</w:t>
      </w:r>
      <w:r>
        <w:rPr>
          <w:sz w:val="22"/>
          <w:szCs w:val="22"/>
        </w:rPr>
        <w:t xml:space="preserve">	44</w:t>
      </w:r>
    </w:p>
    <w:p>
      <w:pPr>
        <w:tabs>
          <w:tab w:val="right" w:pos="9071" w:leader="dot"/>
        </w:tabs>
        <w:spacing w:after="60"/>
        <w:ind w:left="360"/>
      </w:pPr>
      <w:r>
        <w:rPr>
          <w:sz w:val="22"/>
          <w:szCs w:val="22"/>
        </w:rPr>
        <w:t xml:space="preserve">6.22. Agenda no Calendário do Celular</w:t>
      </w:r>
      <w:r>
        <w:rPr>
          <w:sz w:val="22"/>
          <w:szCs w:val="22"/>
        </w:rPr>
        <w:t xml:space="preserve">	44</w:t>
      </w:r>
    </w:p>
    <w:p>
      <w:pPr>
        <w:tabs>
          <w:tab w:val="right" w:pos="9071" w:leader="dot"/>
        </w:tabs>
        <w:spacing w:after="60"/>
        <w:ind w:left="360"/>
      </w:pPr>
      <w:r>
        <w:rPr>
          <w:sz w:val="22"/>
          <w:szCs w:val="22"/>
        </w:rPr>
        <w:t xml:space="preserve">6.23. Notificações no Celular e no Navegador</w:t>
      </w:r>
      <w:r>
        <w:rPr>
          <w:sz w:val="22"/>
          <w:szCs w:val="22"/>
        </w:rPr>
        <w:t xml:space="preserve">	45</w:t>
      </w:r>
    </w:p>
    <w:p>
      <w:pPr>
        <w:tabs>
          <w:tab w:val="right" w:pos="9071" w:leader="dot"/>
        </w:tabs>
        <w:spacing w:after="60"/>
        <w:ind w:left="360"/>
      </w:pPr>
      <w:r>
        <w:rPr>
          <w:sz w:val="22"/>
          <w:szCs w:val="22"/>
        </w:rPr>
        <w:t xml:space="preserve">6.24. Documentação da API</w:t>
      </w:r>
      <w:r>
        <w:rPr>
          <w:sz w:val="22"/>
          <w:szCs w:val="22"/>
        </w:rPr>
        <w:t xml:space="preserve">	45</w:t>
      </w:r>
    </w:p>
    <w:p>
      <w:pPr>
        <w:tabs>
          <w:tab w:val="right" w:pos="9071" w:leader="dot"/>
        </w:tabs>
        <w:spacing w:after="60"/>
        <w:ind w:left="360"/>
      </w:pPr>
      <w:r>
        <w:rPr>
          <w:sz w:val="22"/>
          <w:szCs w:val="22"/>
        </w:rPr>
        <w:t xml:space="preserve">6.25. Testes de Ponta a Ponta</w:t>
      </w:r>
      <w:r>
        <w:rPr>
          <w:sz w:val="22"/>
          <w:szCs w:val="22"/>
        </w:rPr>
        <w:t xml:space="preserve">	46</w:t>
      </w:r>
    </w:p>
    <w:p>
      <w:pPr>
        <w:tabs>
          <w:tab w:val="right" w:pos="9071" w:leader="dot"/>
        </w:tabs>
        <w:spacing w:after="60"/>
        <w:ind w:left="360"/>
      </w:pPr>
      <w:r>
        <w:rPr>
          <w:sz w:val="22"/>
          <w:szCs w:val="22"/>
        </w:rPr>
        <w:t xml:space="preserve">6.26. Planos de Assinatura</w:t>
      </w:r>
      <w:r>
        <w:rPr>
          <w:sz w:val="22"/>
          <w:szCs w:val="22"/>
        </w:rPr>
        <w:t xml:space="preserve">	46</w:t>
      </w:r>
    </w:p>
    <w:p>
      <w:pPr>
        <w:tabs>
          <w:tab w:val="right" w:pos="9071" w:leader="dot"/>
        </w:tabs>
        <w:spacing w:after="60"/>
        <w:ind w:left="360"/>
      </w:pPr>
      <w:r>
        <w:rPr>
          <w:sz w:val="22"/>
          <w:szCs w:val="22"/>
        </w:rPr>
        <w:t xml:space="preserve">6.27. Feriados Locais no Cálculo de Prazos</w:t>
      </w:r>
      <w:r>
        <w:rPr>
          <w:sz w:val="22"/>
          <w:szCs w:val="22"/>
        </w:rPr>
        <w:t xml:space="preserve">	48</w:t>
      </w:r>
    </w:p>
    <w:p>
      <w:pPr>
        <w:tabs>
          <w:tab w:val="right" w:pos="9071" w:leader="dot"/>
        </w:tabs>
        <w:spacing w:after="60"/>
        <w:ind w:left="360"/>
      </w:pPr>
      <w:r>
        <w:rPr>
          <w:sz w:val="22"/>
          <w:szCs w:val="22"/>
        </w:rPr>
        <w:t xml:space="preserve">6.28. Preenchimento pelo CNPJ</w:t>
      </w:r>
      <w:r>
        <w:rPr>
          <w:sz w:val="22"/>
          <w:szCs w:val="22"/>
        </w:rPr>
        <w:t xml:space="preserve">	49</w:t>
      </w:r>
    </w:p>
    <w:p>
      <w:pPr>
        <w:tabs>
          <w:tab w:val="right" w:pos="9071" w:leader="dot"/>
        </w:tabs>
        <w:spacing w:after="60"/>
        <w:ind w:left="360"/>
      </w:pPr>
      <w:r>
        <w:rPr>
          <w:sz w:val="22"/>
          <w:szCs w:val="22"/>
        </w:rPr>
        <w:t xml:space="preserve">6.29. Cadastro por Etapas e Conferência de Prazos</w:t>
      </w:r>
      <w:r>
        <w:rPr>
          <w:sz w:val="22"/>
          <w:szCs w:val="22"/>
        </w:rPr>
        <w:t xml:space="preserve">	50</w:t>
      </w:r>
    </w:p>
    <w:p>
      <w:pPr>
        <w:tabs>
          <w:tab w:val="right" w:pos="9071" w:leader="dot"/>
        </w:tabs>
        <w:spacing w:after="60"/>
        <w:ind w:left="0"/>
      </w:pPr>
      <w:r>
        <w:rPr>
          <w:sz w:val="22"/>
          <w:szCs w:val="22"/>
        </w:rPr>
        <w:t xml:space="preserve">7. Arquitetura do Sistema</w:t>
      </w:r>
      <w:r>
        <w:rPr>
          <w:sz w:val="22"/>
          <w:szCs w:val="22"/>
        </w:rPr>
        <w:t xml:space="preserve">	52</w:t>
      </w:r>
    </w:p>
    <w:p>
      <w:pPr>
        <w:tabs>
          <w:tab w:val="right" w:pos="9071" w:leader="dot"/>
        </w:tabs>
        <w:spacing w:after="60"/>
        <w:ind w:left="360"/>
      </w:pPr>
      <w:r>
        <w:rPr>
          <w:sz w:val="22"/>
          <w:szCs w:val="22"/>
        </w:rPr>
        <w:t xml:space="preserve">7.1. Diagrama de Contexto (C4 — Nível 1)</w:t>
      </w:r>
      <w:r>
        <w:rPr>
          <w:sz w:val="22"/>
          <w:szCs w:val="22"/>
        </w:rPr>
        <w:t xml:space="preserve">	52</w:t>
      </w:r>
    </w:p>
    <w:p>
      <w:pPr>
        <w:tabs>
          <w:tab w:val="right" w:pos="9071" w:leader="dot"/>
        </w:tabs>
        <w:spacing w:after="60"/>
        <w:ind w:left="360"/>
      </w:pPr>
      <w:r>
        <w:rPr>
          <w:sz w:val="22"/>
          <w:szCs w:val="22"/>
        </w:rPr>
        <w:t xml:space="preserve">7.2. Diagrama de Containers (C4 — Nível 2)</w:t>
      </w:r>
      <w:r>
        <w:rPr>
          <w:sz w:val="22"/>
          <w:szCs w:val="22"/>
        </w:rPr>
        <w:t xml:space="preserve">	53</w:t>
      </w:r>
    </w:p>
    <w:p>
      <w:pPr>
        <w:tabs>
          <w:tab w:val="right" w:pos="9071" w:leader="dot"/>
        </w:tabs>
        <w:spacing w:after="60"/>
        <w:ind w:left="360"/>
      </w:pPr>
      <w:r>
        <w:rPr>
          <w:sz w:val="22"/>
          <w:szCs w:val="22"/>
        </w:rPr>
        <w:t xml:space="preserve">7.3. Diagrama de Componentes</w:t>
      </w:r>
      <w:r>
        <w:rPr>
          <w:sz w:val="22"/>
          <w:szCs w:val="22"/>
        </w:rPr>
        <w:t xml:space="preserve">	53</w:t>
      </w:r>
    </w:p>
    <w:p>
      <w:pPr>
        <w:tabs>
          <w:tab w:val="right" w:pos="9071" w:leader="dot"/>
        </w:tabs>
        <w:spacing w:after="60"/>
        <w:ind w:left="360"/>
      </w:pPr>
      <w:r>
        <w:rPr>
          <w:sz w:val="22"/>
          <w:szCs w:val="22"/>
        </w:rPr>
        <w:t xml:space="preserve">7.4. Integração Contínua e Qualidade</w:t>
      </w:r>
      <w:r>
        <w:rPr>
          <w:sz w:val="22"/>
          <w:szCs w:val="22"/>
        </w:rPr>
        <w:t xml:space="preserve">	54</w:t>
      </w:r>
    </w:p>
    <w:p>
      <w:pPr>
        <w:tabs>
          <w:tab w:val="right" w:pos="9071" w:leader="dot"/>
        </w:tabs>
        <w:spacing w:after="60"/>
        <w:ind w:left="360"/>
      </w:pPr>
      <w:r>
        <w:rPr>
          <w:sz w:val="22"/>
          <w:szCs w:val="22"/>
        </w:rPr>
        <w:t xml:space="preserve">7.5. Resultados da Auditoria Técnica</w:t>
      </w:r>
      <w:r>
        <w:rPr>
          <w:sz w:val="22"/>
          <w:szCs w:val="22"/>
        </w:rPr>
        <w:t xml:space="preserve">	54</w:t>
      </w:r>
    </w:p>
    <w:p>
      <w:pPr>
        <w:tabs>
          <w:tab w:val="right" w:pos="9071" w:leader="dot"/>
        </w:tabs>
        <w:spacing w:after="60"/>
        <w:ind w:left="360"/>
      </w:pPr>
      <w:r>
        <w:rPr>
          <w:sz w:val="22"/>
          <w:szCs w:val="22"/>
        </w:rPr>
        <w:t xml:space="preserve">7.6. Testes Práticos na Aplicação Publicada</w:t>
      </w:r>
      <w:r>
        <w:rPr>
          <w:sz w:val="22"/>
          <w:szCs w:val="22"/>
        </w:rPr>
        <w:t xml:space="preserve">	55</w:t>
      </w:r>
    </w:p>
    <w:p>
      <w:pPr>
        <w:tabs>
          <w:tab w:val="right" w:pos="9071" w:leader="dot"/>
        </w:tabs>
        <w:spacing w:after="60"/>
        <w:ind w:left="360"/>
      </w:pPr>
      <w:r>
        <w:rPr>
          <w:sz w:val="22"/>
          <w:szCs w:val="22"/>
        </w:rPr>
        <w:t xml:space="preserve">7.7. Avaliação e Limitações</w:t>
      </w:r>
      <w:r>
        <w:rPr>
          <w:sz w:val="22"/>
          <w:szCs w:val="22"/>
        </w:rPr>
        <w:t xml:space="preserve">	56</w:t>
      </w:r>
    </w:p>
    <w:p>
      <w:pPr>
        <w:tabs>
          <w:tab w:val="right" w:pos="9071" w:leader="dot"/>
        </w:tabs>
        <w:spacing w:after="60"/>
        <w:ind w:left="0"/>
      </w:pPr>
      <w:r>
        <w:rPr>
          <w:sz w:val="22"/>
          <w:szCs w:val="22"/>
        </w:rPr>
        <w:t xml:space="preserve">8. Trabalhos Futuros</w:t>
      </w:r>
      <w:r>
        <w:rPr>
          <w:sz w:val="22"/>
          <w:szCs w:val="22"/>
        </w:rPr>
        <w:t xml:space="preserve">	56</w:t>
      </w:r>
    </w:p>
    <w:p>
      <w:pPr>
        <w:tabs>
          <w:tab w:val="right" w:pos="9071" w:leader="dot"/>
        </w:tabs>
        <w:spacing w:after="60"/>
        <w:ind w:left="0"/>
      </w:pPr>
      <w:r>
        <w:rPr>
          <w:sz w:val="22"/>
          <w:szCs w:val="22"/>
        </w:rPr>
        <w:t xml:space="preserve">9. Conclusão</w:t>
      </w:r>
      <w:r>
        <w:rPr>
          <w:sz w:val="22"/>
          <w:szCs w:val="22"/>
        </w:rPr>
        <w:t xml:space="preserve">	57</w:t>
      </w:r>
    </w:p>
    <w:p>
      <w:pPr>
        <w:tabs>
          <w:tab w:val="right" w:pos="9071" w:leader="dot"/>
        </w:tabs>
        <w:spacing w:after="60"/>
        <w:ind w:left="0"/>
      </w:pPr>
      <w:r>
        <w:rPr>
          <w:sz w:val="22"/>
          <w:szCs w:val="22"/>
        </w:rPr>
        <w:t xml:space="preserve">10. Referências Bibliográficas</w:t>
      </w:r>
      <w:r>
        <w:rPr>
          <w:sz w:val="22"/>
          <w:szCs w:val="22"/>
        </w:rPr>
        <w:t xml:space="preserve">	58</w:t>
      </w:r>
    </w:p>
    <w:p>
      <w:r>
        <w:br w:type="page"/>
      </w:r>
    </w:p>
    <w:p>
      <w:pPr>
        <w:pStyle w:val="Heading1"/>
        <w:spacing w:after="200" w:before="420"/>
      </w:pPr>
      <w:r>
        <w:rPr>
          <w:b/>
          <w:bCs/>
          <w:color w:val="1F3864"/>
          <w:sz w:val="30"/>
          <w:szCs w:val="30"/>
        </w:rPr>
        <w:t xml:space="preserve">1. Introdução</w:t>
      </w:r>
    </w:p>
    <w:p>
      <w:pPr>
        <w:pStyle w:val="Heading2"/>
        <w:spacing w:after="160" w:before="300"/>
      </w:pPr>
      <w:r>
        <w:rPr>
          <w:b/>
          <w:bCs/>
          <w:color w:val="1F3864"/>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1F3864"/>
          <w:sz w:val="25"/>
          <w:szCs w:val="25"/>
        </w:rPr>
        <w:t xml:space="preserve">1.2. Descrição da Solução</w:t>
      </w:r>
    </w:p>
    <w:p>
      <w:pPr>
        <w:spacing w:after="180" w:line="300"/>
        <w:jc w:val="both"/>
      </w:pPr>
      <w:r>
        <w:rPr>
          <w:sz w:val="22"/>
          <w:szCs w:val="22"/>
        </w:rPr>
        <w:t xml:space="preserve">A solução é uma aplicação web (LexNexo)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 O modelo de negócio é freemium: qualquer escritório pode criar a conta e usar o sistema sem pagar, no plano Gratuito, e contratar um plano pago quando precisar de mais usuários, mais processos ou dos recursos avançados.</w:t>
      </w:r>
    </w:p>
    <w:p>
      <w:pPr>
        <w:pStyle w:val="Heading2"/>
        <w:spacing w:after="160" w:before="300"/>
      </w:pPr>
      <w:r>
        <w:rPr>
          <w:b/>
          <w:bCs/>
          <w:color w:val="1F3864"/>
          <w:sz w:val="25"/>
          <w:szCs w:val="25"/>
        </w:rPr>
        <w:t xml:space="preserve">1.3. Objetivos</w:t>
      </w:r>
    </w:p>
    <w:p>
      <w:pPr>
        <w:pStyle w:val="Heading3"/>
        <w:spacing w:after="120" w:before="220"/>
      </w:pPr>
      <w:r>
        <w:rPr>
          <w:b/>
          <w:bCs/>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Oferecer o sistema gratuitamente no plano inicial, com planos pagos que ampliam limites e recursos, aplicados pela própria API;</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1F3864"/>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com cálculo em dias úteis que considera os feriados nacionais e os feriados locais cadastrados pelo escritório), de tarefas e de horas e despesas; o controle de contratos e honorários com parcelamento e cobrança por PIX; a importação de andamentos (DataJud) e de intimações (DJEN); a geração e o envio de relatórios; o preenchimento dos dados de empresas pelo CNPJ, a partir do cadastro público da Receita Federal; um assistente de inteligência artificial; notificações por e-mail e push; planos de assinatura (Gratuito, Básico e Profissional) com limites e recursos por plano;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1F3864"/>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1F3864"/>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A verificação combina testes da API em Django sobre PostgreSQL exclusivo, testes de componentes em Jest e Testing Library, análise estática, build de produção, validação OpenAPI e fluxos de ponta a ponta em Playwright, incluindo regras automáticas de acessibilidade. O GitHub Actions está configurado para essas etapas. A auditoria de 27/10/2026 executou localmente 532 testes Django, 275 Jest e 34 Playwright, após correções e retestes. A execução remota do CI não foi comprovada nesta rodada; os resultados locais identificam a base de código e as alterações ainda não commitadas, conforme a seção 7.</w:t>
      </w:r>
    </w:p>
    <w:p>
      <w:pPr>
        <w:pStyle w:val="Heading1"/>
        <w:spacing w:after="200" w:before="420"/>
      </w:pPr>
      <w:r>
        <w:rPr>
          <w:b/>
          <w:bCs/>
          <w:color w:val="1F3864"/>
          <w:sz w:val="30"/>
          <w:szCs w:val="30"/>
        </w:rPr>
        <w:t xml:space="preserve">2. Modelagem de Negócio</w:t>
      </w:r>
    </w:p>
    <w:p>
      <w:pPr>
        <w:pStyle w:val="Heading2"/>
        <w:spacing w:after="160" w:before="300"/>
      </w:pPr>
      <w:r>
        <w:rPr>
          <w:b/>
          <w:bCs/>
          <w:color w:val="1F3864"/>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cadastro gratuito pela página inicial</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Modelo freemium: plano Gratuito sem custo</w:t>
            </w:r>
          </w:p>
          <w:p>
            <w:pPr>
              <w:pStyle w:val="ListParagraph"/>
              <w:numPr>
                <w:ilvl w:val="0"/>
                <w:numId w:val="1"/>
              </w:numPr>
              <w:spacing w:after="40"/>
            </w:pPr>
            <w:r>
              <w:rPr>
                <w:sz w:val="18"/>
                <w:szCs w:val="18"/>
              </w:rPr>
              <w:t xml:space="preserve">Assinaturas mensais: Básico (R$ 79) e Profissional (R$ 199)</w:t>
            </w:r>
          </w:p>
        </w:tc>
      </w:tr>
    </w:tbl>
    <w:p>
      <w:pPr>
        <w:spacing w:after="240"/>
      </w:pPr>
    </w:p>
    <w:p>
      <w:pPr>
        <w:pStyle w:val="Heading2"/>
        <w:spacing w:after="160" w:before="300"/>
      </w:pPr>
      <w:r>
        <w:rPr>
          <w:b/>
          <w:bCs/>
          <w:color w:val="1F3864"/>
          <w:sz w:val="25"/>
          <w:szCs w:val="25"/>
        </w:rPr>
        <w:t xml:space="preserve">2.2. Product Backlog Priorizado</w:t>
      </w:r>
    </w:p>
    <w:p>
      <w:pPr>
        <w:spacing w:after="180" w:line="300"/>
        <w:jc w:val="both"/>
      </w:pPr>
      <w:r>
        <w:rPr>
          <w:sz w:val="22"/>
          <w:szCs w:val="22"/>
        </w:rPr>
        <w:t xml:space="preserve">O backlog abaixo utiliza os mesmos identificadores da especificação da seção 3. As horas são estimativas históricas de planejamento, não medições de esforço; o traço indica ausência de estimativa registrada. A notificação automática ao cliente foi identificada como RF52 e permanece adiada, conforme a seção 8. RF05 designa exclusivamente o registro de movimentações em todas as seções.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inativação e exclusão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e acompanhamento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movimentações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Contratos e honorários, com geração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pagamento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de clientes 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processos ativos e finalizados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RF15</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gerenciamento de advogados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RF16</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contextual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RF17</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RF49</w:t>
            </w:r>
          </w:p>
        </w:tc>
        <w:tc>
          <w:tcPr>
            <w:tcW w:type="dxa" w:w="4200"/>
            <w:tcMar>
              <w:top w:type="dxa" w:w="80"/>
              <w:left w:type="dxa" w:w="100"/>
              <w:bottom w:type="dxa" w:w="80"/>
              <w:right w:type="dxa" w:w="100"/>
            </w:tcMar>
            <w:vAlign w:val="center"/>
          </w:tcPr>
          <w:p>
            <w:pPr>
              <w:jc w:val="left"/>
            </w:pPr>
            <w:r>
              <w:rPr>
                <w:b w:val="false"/>
                <w:bCs w:val="false"/>
                <w:sz w:val="19"/>
                <w:szCs w:val="19"/>
              </w:rPr>
              <w:t xml:space="preserve">Planos de assinatura (Gratuito, Básico e Profissional) com limites e recursos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RF50</w:t>
            </w:r>
          </w:p>
        </w:tc>
        <w:tc>
          <w:tcPr>
            <w:tcW w:type="dxa" w:w="4200"/>
            <w:tcMar>
              <w:top w:type="dxa" w:w="80"/>
              <w:left w:type="dxa" w:w="100"/>
              <w:bottom w:type="dxa" w:w="80"/>
              <w:right w:type="dxa" w:w="100"/>
            </w:tcMar>
            <w:vAlign w:val="center"/>
          </w:tcPr>
          <w:p>
            <w:pPr>
              <w:jc w:val="left"/>
            </w:pPr>
            <w:r>
              <w:rPr>
                <w:b w:val="false"/>
                <w:bCs w:val="false"/>
                <w:sz w:val="19"/>
                <w:szCs w:val="19"/>
              </w:rPr>
              <w:t xml:space="preserve">Feriados locais e suspensões de expediente no cálculo de prazos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RF51</w:t>
            </w:r>
          </w:p>
        </w:tc>
        <w:tc>
          <w:tcPr>
            <w:tcW w:type="dxa" w:w="4200"/>
            <w:tcMar>
              <w:top w:type="dxa" w:w="80"/>
              <w:left w:type="dxa" w:w="100"/>
              <w:bottom w:type="dxa" w:w="80"/>
              <w:right w:type="dxa" w:w="100"/>
            </w:tcMar>
            <w:vAlign w:val="center"/>
          </w:tcPr>
          <w:p>
            <w:pPr>
              <w:jc w:val="left"/>
            </w:pPr>
            <w:r>
              <w:rPr>
                <w:b w:val="false"/>
                <w:bCs w:val="false"/>
                <w:sz w:val="19"/>
                <w:szCs w:val="19"/>
              </w:rPr>
              <w:t xml:space="preserve">Preenchimento dos dados da empresa pelo CNPJ (BrasilAPI)</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RF52</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Notificação automática ao cliente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Conferência rastreável de prazos importados do DJEN</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1F3864"/>
          <w:sz w:val="30"/>
          <w:szCs w:val="30"/>
        </w:rPr>
        <w:t xml:space="preserve">3. Requisitos e Regras de Negócio</w:t>
      </w:r>
    </w:p>
    <w:p>
      <w:pPr>
        <w:pStyle w:val="Heading2"/>
        <w:spacing w:after="160" w:before="300"/>
      </w:pPr>
      <w:r>
        <w:rPr>
          <w:b/>
          <w:bCs/>
          <w:color w:val="1F3864"/>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feriados nacionais e, desde o RF50, os feriados locais aplicáveis e a suspensão do recesso forense)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ListParagraph"/>
        <w:numPr>
          <w:ilvl w:val="0"/>
          <w:numId w:val="1"/>
        </w:numPr>
        <w:spacing w:after="100" w:line="276"/>
        <w:jc w:val="both"/>
      </w:pPr>
      <w:r>
        <w:rPr>
          <w:sz w:val="22"/>
          <w:szCs w:val="22"/>
        </w:rPr>
        <w:t xml:space="preserve">RF49 – Planos de assinatura: o escritório começa no plano Gratuito, sem pagamento, e pode passar aos planos Básico e Profissional, que ampliam o número de usuários e de processos ativos e incluem as intimações do DJEN, a sincronização automática do DataJud e a IA; a tela de planos mostra o plano atual e o uso de cada limite, e a página inicial apresenta os planos antes do cadastro;</w:t>
      </w:r>
    </w:p>
    <w:p>
      <w:pPr>
        <w:pStyle w:val="ListParagraph"/>
        <w:numPr>
          <w:ilvl w:val="0"/>
          <w:numId w:val="1"/>
        </w:numPr>
        <w:spacing w:after="100" w:line="276"/>
        <w:jc w:val="both"/>
      </w:pPr>
      <w:r>
        <w:rPr>
          <w:sz w:val="22"/>
          <w:szCs w:val="22"/>
        </w:rPr>
        <w:t xml:space="preserve">RF50 – Cadastro de feriados locais (municipais e estaduais) e de suspensões de expediente do tribunal, únicos ou repetidos todo ano, considerados no cálculo de prazos da agenda e das intimações do DJEN, com a indicação dos feriados que alteraram a contagem;</w:t>
      </w:r>
    </w:p>
    <w:p>
      <w:pPr>
        <w:pStyle w:val="ListParagraph"/>
        <w:numPr>
          <w:ilvl w:val="0"/>
          <w:numId w:val="1"/>
        </w:numPr>
        <w:spacing w:after="100" w:line="276"/>
        <w:jc w:val="both"/>
      </w:pPr>
      <w:r>
        <w:rPr>
          <w:sz w:val="22"/>
          <w:szCs w:val="22"/>
        </w:rPr>
        <w:t xml:space="preserve">RF51 – Preenchimento automático dos dados da empresa a partir do CNPJ, no cadastro de cliente pessoa jurídica (razão social, e-mail, telefone, CEP e endereço) e no cadastro do escritório (nome, telefone, e-mail, endereço, cidade, UF e CEP), com base no cadastro público da Receita Federal disponibilizado pelo BrasilAPI.</w:t>
      </w:r>
    </w:p>
    <w:p>
      <w:pPr>
        <w:pStyle w:val="ListParagraph"/>
        <w:numPr>
          <w:ilvl w:val="0"/>
          <w:numId w:val="1"/>
        </w:numPr>
        <w:spacing w:after="100" w:line="276"/>
        <w:jc w:val="both"/>
      </w:pPr>
      <w:r>
        <w:rPr>
          <w:sz w:val="22"/>
          <w:szCs w:val="22"/>
        </w:rPr>
        <w:t xml:space="preserve">RF52 – Notificação automática ao cliente a cada atualização de processo: planejada e adiada; atualmente a mensagem depende de revisão e acionamento do usuário.</w:t>
      </w:r>
    </w:p>
    <w:p>
      <w:pPr>
        <w:pStyle w:val="ListParagraph"/>
        <w:numPr>
          <w:ilvl w:val="0"/>
          <w:numId w:val="1"/>
        </w:numPr>
        <w:spacing w:after="100" w:line="276"/>
        <w:jc w:val="both"/>
      </w:pPr>
      <w:r>
        <w:rPr>
          <w:sz w:val="22"/>
          <w:szCs w:val="22"/>
        </w:rPr>
        <w:t xml:space="preserve">RF53 – Conferência de prazo importado do DJEN por advogado ou administrador, registrando vencimento, justificativa, autor e data, com atualização da agenda e nova conferência exigida após alteração manual da data.</w:t>
      </w:r>
    </w:p>
    <w:p>
      <w:pPr>
        <w:pStyle w:val="Heading2"/>
        <w:spacing w:after="160" w:before="300"/>
      </w:pPr>
      <w:r>
        <w:rPr>
          <w:b/>
          <w:bCs/>
          <w:color w:val="1F3864"/>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 contexto da IA deve minimizar dados pessoais: omitir CPF/CNPJ, endereço, e-mail e telefone dos campos estruturados, abreviar nomes e mascarar identificadores reconhecidos nos textos. A minimização automática não garante a remoção de todo dado pessoal em texto livre; o usuário deve revisar o conteúdo enviado e gerado;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ListParagraph"/>
        <w:numPr>
          <w:ilvl w:val="0"/>
          <w:numId w:val="1"/>
        </w:numPr>
        <w:spacing w:after="100" w:line="276"/>
        <w:jc w:val="both"/>
      </w:pPr>
      <w:r>
        <w:rPr>
          <w:sz w:val="22"/>
          <w:szCs w:val="22"/>
        </w:rPr>
        <w:t xml:space="preserve">RNF21 – Consultas a serviços públicos externos feitas pelo navegador, como o BrasilAPI e o ViaCEP, devem estar autorizadas na política de segurança de conteúdo (CSP) e nunca condicionar a operação: a indisponibilidade do serviço apenas deixa de preencher os campos, sem impedir o cadastro.</w:t>
      </w:r>
    </w:p>
    <w:p>
      <w:pPr>
        <w:pStyle w:val="Heading2"/>
        <w:spacing w:after="160" w:before="300"/>
      </w:pPr>
      <w:r>
        <w:rPr>
          <w:b/>
          <w:bCs/>
          <w:color w:val="1F3864"/>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 e os feriados locais e suspensões de expediente aplicáveis à comarca ou ao tribunal (RN36), além do recesso processual de 20 de dezembro a 20 de janeiro.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canal e etapa, ainda que a rotina seja executada mais de uma vez no mesmo dia. E-mail e push são reservados e enviados de forma independente: a indisponibilidade do SMTP não impede o aviso no aparelho, e uma falha é retirada do registro para poder ser tentada novamente. Prazos fatais recebem reforços dois dias antes, um dia antes e no próprio dia; no aparelho, o aviso mais recente substitui o anterior do mesmo prazo.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Os feriados locais cadastrados pelo escritório também deixam de contar, tanto para a data de publicação quanto para a contagem e o vencimento (RN36).</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spacing w:after="120"/>
      </w:pPr>
      <w:r>
        <w:rPr>
          <w:b/>
          <w:bCs/>
          <w:sz w:val="22"/>
          <w:szCs w:val="22"/>
        </w:rPr>
        <w:t xml:space="preserve">RN35 – Planos e Limites</w:t>
      </w:r>
    </w:p>
    <w:p>
      <w:pPr>
        <w:spacing w:after="180" w:line="300"/>
        <w:jc w:val="both"/>
      </w:pPr>
      <w:r>
        <w:rPr>
          <w:sz w:val="22"/>
          <w:szCs w:val="22"/>
        </w:rPr>
        <w:t xml:space="preserve">Todo escritório criado pelo cadastro público entra no plano Gratuito, sem pagamento: até 3 usuários ativos e 30 processos ativos. O Básico permite até 10 usuários e 300 processos e inclui as intimações do DJEN e a sincronização automática do DataJud; o Profissional não tem limites e inclui também a IA. Os limites são verificados pela API no momento de criar — cadastrar membro ou advogado, reativar usuário, cadastrar ou desarquivar processo —, e processos concluídos ou arquivados não contam. Atingir o limite nunca apaga nem esconde dados: apenas impede criar mais, com uma mensagem que indica os planos pagos. Um plano pago com validade vencida vale como Gratuito até ser renovado, e as rotinas agendadas só atendem os escritórios cujo plano em vigor inclui o recurso. No Gratuito, a mensagem de atualização ao cliente usa o modelo automático, sem IA.</w:t>
      </w:r>
    </w:p>
    <w:p>
      <w:pPr>
        <w:spacing w:after="120"/>
      </w:pPr>
      <w:r>
        <w:rPr>
          <w:b/>
          <w:bCs/>
          <w:sz w:val="22"/>
          <w:szCs w:val="22"/>
        </w:rPr>
        <w:t xml:space="preserve">RN36 – Feriados Locais</w:t>
      </w:r>
    </w:p>
    <w:p>
      <w:pPr>
        <w:spacing w:after="180" w:line="300"/>
        <w:jc w:val="both"/>
      </w:pPr>
      <w:r>
        <w:rPr>
          <w:sz w:val="22"/>
          <w:szCs w:val="22"/>
        </w:rPr>
        <w:t xml:space="preserve">Feriados municipais e estaduais e suspensões de expediente variam por comarca e são definidos por cada tribunal; por isso o sistema não traz uma lista pronta, e o escritório cadastra os dias que valem para ele. Um feriado pode valer só naquela data (uma suspensão por portaria) ou repetir todo ano no mesmo dia e mês (o aniversário da cidade). A mesma data pode ter feriados de abrangências diferentes no mesmo escritório. Quando a abrangência está preenchida, o feriado só afeta o prazo se coincidir com a comarca do processo ou com o tribunal da intimação; a abrangência vazia vale para todo o escritório. A calculadora também suspende os prazos processuais de 20 de dezembro a 20 de janeiro. Os feriados locais não afetam a contagem em dias corridos, e a calculadora informa quais deles mudaram o resultado. Excluir ou cadastrar um feriado vale para os cálculos seguintes: prazos já lançados na agenda não são recalculados.</w:t>
      </w:r>
    </w:p>
    <w:p>
      <w:pPr>
        <w:spacing w:after="120"/>
      </w:pPr>
      <w:r>
        <w:rPr>
          <w:b/>
          <w:bCs/>
          <w:sz w:val="22"/>
          <w:szCs w:val="22"/>
        </w:rPr>
        <w:t xml:space="preserve">RN37 – Preenchimento pelo CNPJ</w:t>
      </w:r>
    </w:p>
    <w:p>
      <w:pPr>
        <w:spacing w:after="180" w:line="300"/>
        <w:jc w:val="both"/>
      </w:pPr>
      <w:r>
        <w:rPr>
          <w:sz w:val="22"/>
          <w:szCs w:val="22"/>
        </w:rPr>
        <w:t xml:space="preserve">Ao informar um CNPJ completo (14 dígitos), o sistema consulta o cadastro público da empresa e preenche apenas os campos ainda vazios: nada do que o usuário já digitou é substituído, e todos os campos continuam editáveis. A consulta é uma ajuda e nunca uma condição — um CNPJ não encontrado, uma falha de rede ou a indisponibilidade do serviço apenas geram um aviso para preencher à mão, e o cadastro segue normalmente. Uma situação cadastral diferente de ativa (baixada, suspensa, inapta) é informada no aviso, mas não impede o cadastro, porque o escritório pode ter motivo legítimo para registrar a empresa — por exemplo, uma ação contra uma sociedade já extinta. A consulta parte do navegador e não envia ao serviço nenhum dado além do próprio CNPJ.</w:t>
      </w:r>
    </w:p>
    <w:p>
      <w:pPr>
        <w:pStyle w:val="Heading1"/>
        <w:spacing w:after="200" w:before="420"/>
      </w:pPr>
      <w:r>
        <w:rPr>
          <w:b/>
          <w:bCs/>
          <w:color w:val="1F3864"/>
          <w:sz w:val="30"/>
          <w:szCs w:val="30"/>
        </w:rPr>
        <w:t xml:space="preserve">4. Modelagem de Sistemas</w:t>
      </w:r>
    </w:p>
    <w:p>
      <w:pPr>
        <w:pStyle w:val="Heading2"/>
        <w:spacing w:after="160" w:before="300"/>
      </w:pPr>
      <w:r>
        <w:rPr>
          <w:b/>
          <w:bCs/>
          <w:color w:val="1F3864"/>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180" w:line="300"/>
        <w:jc w:val="both"/>
      </w:pPr>
      <w:r>
        <w:rPr>
          <w:sz w:val="22"/>
          <w:szCs w:val="22"/>
        </w:rPr>
        <w:t xml:space="preserve">Com a introdução dos planos de assinatura, entraram o ator Visitante, que cria o escritório pelo cadastro público já no plano Gratuito, o caso de uso Consultar Plano e Uso dos Limites e o caso de uso Verificar Limite do Plano, incluído pelos casos que dependem do plano: Gerenciar Processos e Gerenciar Equipe e Perfis de Acesso (limites de processos e de usuários), Consultar Assistente de IA e Tratar Intimações do DJEN (recursos dos planos pagos).</w:t>
      </w:r>
    </w:p>
    <w:p>
      <w:pPr>
        <w:spacing w:after="180" w:line="300"/>
        <w:jc w:val="both"/>
      </w:pPr>
      <w:r>
        <w:rPr>
          <w:sz w:val="22"/>
          <w:szCs w:val="22"/>
        </w:rPr>
        <w:t xml:space="preserve">Por fim, o caso de uso Cadastrar Feriados Locais, dos perfis que gerenciam a agenda, estende Gerenciar Agenda: os dias cadastrados passam a valer no cálculo dos prazos (RF50).</w:t>
      </w:r>
    </w:p>
    <w:p>
      <w:pPr>
        <w:spacing w:after="180" w:line="300"/>
        <w:jc w:val="both"/>
      </w:pPr>
      <w:r>
        <w:rPr>
          <w:sz w:val="22"/>
          <w:szCs w:val="22"/>
        </w:rPr>
        <w:t xml:space="preserve">O caso de uso Preencher Dados pelo CNPJ estende Gerenciar Clientes e Cadastrar Escritório: ao informar o CNPJ, os dados da empresa vêm do cadastro público da Receita Federal, mas o cadastro continua possível sem ele (RF51/RN37).</w:t>
      </w:r>
    </w:p>
    <w:p>
      <w:pPr>
        <w:keepNext/>
        <w:spacing w:after="80" w:before="200"/>
        <w:jc w:val="center"/>
      </w:pPr>
      <w:r>
        <w:drawing>
          <wp:inline distT="0" distB="0" distL="0" distR="0">
            <wp:extent cx="3429000" cy="810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8105775"/>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1F3864"/>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p>
            <w:pPr>
              <w:spacing w:after="40"/>
              <w:jc w:val="both"/>
            </w:pPr>
            <w:r>
              <w:rPr>
                <w:sz w:val="20"/>
                <w:szCs w:val="20"/>
              </w:rPr>
              <w:t xml:space="preserve">A3. O escritório atingiu o limite de processos ativos do plano: o sistema recusa o cadastro, informa o limite e indica os planos pagos, sem afetar os processos existentes.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p>
            <w:pPr>
              <w:spacing w:after="40"/>
              <w:jc w:val="both"/>
            </w:pPr>
            <w:r>
              <w:rPr>
                <w:sz w:val="20"/>
                <w:szCs w:val="20"/>
              </w:rPr>
              <w:t xml:space="preserve">A2. Validade do plano pago vencida: o escritório volta a ter os limites do plano Gratuito até a renovação, sem perda de dados.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1F3864"/>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180" w:line="300"/>
        <w:jc w:val="both"/>
      </w:pPr>
      <w:r>
        <w:rPr>
          <w:sz w:val="22"/>
          <w:szCs w:val="22"/>
        </w:rPr>
        <w:t xml:space="preserve">Para os planos, a classe Escritorio, que já guardava o plano e a sua validade, passou a expor planoEfetivo() — o plano que vale hoje, considerando a validade —, temRecurso(recurso) e verificarLimite(limite), usados pelas operações que dependem do plano (RF49/RN35).</w:t>
      </w:r>
    </w:p>
    <w:p>
      <w:pPr>
        <w:spacing w:after="180" w:line="300"/>
        <w:jc w:val="both"/>
      </w:pPr>
      <w:r>
        <w:rPr>
          <w:sz w:val="22"/>
          <w:szCs w:val="22"/>
        </w:rPr>
        <w:t xml:space="preserve">A classe FeriadoLocal, composta pelo Escritorio, representa um dia sem expediente que vale só para aquele escritório; o método caiEm(data) considera a repetição anual, e o cálculo de prazos consulta os feriados aplicáveis à comarca ou ao tribunal além dos nacionais (RF50/RN36).</w:t>
      </w:r>
    </w:p>
    <w:p>
      <w:pPr>
        <w:keepNext/>
        <w:spacing w:after="80" w:before="200"/>
        <w:jc w:val="center"/>
      </w:pPr>
      <w:r>
        <w:drawing>
          <wp:inline distT="0" distB="0" distL="0" distR="0">
            <wp:extent cx="44767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772025"/>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1F3864"/>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keepNext/>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keepNext/>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1F3864"/>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Nas edições, a coluna JSONB alteracoes guarda somente os campos efetivamente modificados, com os valores anterior e novo; senhas, tokens, chaves e segredos são descartados antes da gravação.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180" w:line="300"/>
        <w:jc w:val="both"/>
      </w:pPr>
      <w:r>
        <w:rPr>
          <w:sz w:val="22"/>
          <w:szCs w:val="22"/>
        </w:rPr>
        <w:t xml:space="preserve">A tabela feriado_local guarda, por escritório, os feriados municipais e estaduais e as suspensões de expediente: data, descrição, abrangência (comarca ou tribunal usado para filtrar o cálculo) e o indicador anual, que faz a data valer todos os anos no mesmo dia e mês. Uma restrição de unicidade impede repetir a mesma data e abrangência no mesmo escritório.</w:t>
      </w:r>
    </w:p>
    <w:p>
      <w:pPr>
        <w:spacing w:after="180" w:line="300"/>
        <w:jc w:val="both"/>
      </w:pPr>
      <w:r>
        <w:rPr>
          <w:sz w:val="22"/>
          <w:szCs w:val="22"/>
        </w:rPr>
        <w:t xml:space="preserve">A tabela intimacao ganhou conferido_em, conferido_por_id e observacao_conferencia (RF53). Leitura, conferência e cumprimento são estados distintos. A edição manual da data na agenda invalida a conferência anterior. Na anonimização de cliente, os valores pessoais do histórico de alterações e as referências estruturadas ao cliente são tratados, preservando os metadados da trilha de auditoria.</w:t>
      </w:r>
    </w:p>
    <w:p>
      <w:pPr>
        <w:keepNext/>
        <w:spacing w:after="80" w:before="200"/>
        <w:jc w:val="center"/>
      </w:pPr>
      <w:r>
        <w:drawing>
          <wp:inline distT="0" distB="0" distL="0" distR="0">
            <wp:extent cx="44767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943475"/>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1F3864"/>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34 capturas da interface foram refeitas em 28/10/2026 para apresentar a marca LexNexo e os controles atuais, incluindo navegação agrupada, ajuda progressiva, cadastro por etapas e configuração de notificações. Foram usados apenas serviços locais e dados fictícios. As respostas de CNPJ e DataJud foram simuladas, e a intimação foi criada pela massa de demonstração. As imagens ilustram a interface desta revisão; os resultados quantitativos da auditoria de 27/10/2026 permanecem identificados separadamente na seção 7.5.</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1F3864"/>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1F3864"/>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1F3864"/>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keepNext/>
        <w:spacing w:after="80" w:before="200"/>
        <w:jc w:val="center"/>
      </w:pPr>
      <w:r>
        <w:drawing>
          <wp:inline distT="0" distB="0" distL="0" distR="0">
            <wp:extent cx="4572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457325"/>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1F3864"/>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1F3864"/>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1F3864"/>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keepNext/>
        <w:spacing w:after="8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971925"/>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1F3864"/>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1F3864"/>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1F3864"/>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1F3864"/>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1F3864"/>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1F3864"/>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1F3864"/>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1F3864"/>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1F3864"/>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1F3864"/>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Configuração da verificação em duas etapas, sem exibição de segredo</w:t>
      </w:r>
    </w:p>
    <w:p>
      <w:pPr>
        <w:keepNext/>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1F3864"/>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1F3864"/>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usa a intimação fictícia do escritório de demonstração, identificada como exemplo na própria tela. Não representa uma publicação real nem comprova consulta ao serviço do CNJ.</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1F3864"/>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de uma cobrança real segue o padrão BR Code do Banco Central e foi conferido contra o exemplo do manual oficial nos testes automatizados. A captura apresenta o modo de teste atual do LexNexo, identificado como sem movimentação de dinheiro, e não uma cobrança bancária real.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Modo de teste do PIX de honorários, sem movimentação de dinheiro</w:t>
      </w:r>
    </w:p>
    <w:p>
      <w:pPr>
        <w:pStyle w:val="Heading2"/>
        <w:spacing w:after="160" w:before="300"/>
      </w:pPr>
      <w:r>
        <w:rPr>
          <w:b/>
          <w:bCs/>
          <w:color w:val="1F3864"/>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1F3864"/>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1F3864"/>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1F3864"/>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 Dentro do sistema, o sino funciona como central de alertas independente desses canais: reúne itens vencidos e os próximos sete dias, identifica prazo fatal, vencimento, horário e processo relacionado e permanece operável por teclado.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Configuração de notificações no ambiente local sem chaves VAPID</w:t>
      </w:r>
    </w:p>
    <w:p>
      <w:pPr>
        <w:pStyle w:val="Heading2"/>
        <w:spacing w:after="160" w:before="300"/>
      </w:pPr>
      <w:r>
        <w:rPr>
          <w:b/>
          <w:bCs/>
          <w:color w:val="1F3864"/>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1F3864"/>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O workflow prevê sua execução junto aos testes da API e de componentes (RNF19). Na auditoria final local, passaram 34 cenários Playwright, 532 testes Django e 275 Jest; esses resultados não comprovam uma execução remota do workflow.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0"/>
        <w:gridCol w:w="3471"/>
      </w:tblGrid>
      <w:tr>
        <w:trPr>
          <w:tblHeader/>
        </w:trPr>
        <w:tc>
          <w:tcPr>
            <w:tcW w:type="dxa" w:w="5600"/>
            <w:shd w:fill="1F3864" w:val="clear"/>
            <w:tcMar>
              <w:top w:type="dxa" w:w="80"/>
              <w:left w:type="dxa" w:w="100"/>
              <w:bottom w:type="dxa" w:w="80"/>
              <w:right w:type="dxa" w:w="100"/>
            </w:tcMar>
            <w:vAlign w:val="center"/>
          </w:tcPr>
          <w:p>
            <w:pPr>
              <w:jc w:val="left"/>
            </w:pPr>
            <w:r>
              <w:rPr>
                <w:b/>
                <w:bCs/>
                <w:color w:val="FFFFFF"/>
                <w:sz w:val="19"/>
                <w:szCs w:val="19"/>
              </w:rPr>
              <w:t xml:space="preserve">Playwright na auditoria de 27/10/2026</w:t>
            </w:r>
          </w:p>
        </w:tc>
        <w:tc>
          <w:tcPr>
            <w:tcW w:type="dxa" w:w="3471"/>
            <w:shd w:fill="1F3864" w:val="clear"/>
            <w:tcMar>
              <w:top w:type="dxa" w:w="80"/>
              <w:left w:type="dxa" w:w="100"/>
              <w:bottom w:type="dxa" w:w="80"/>
              <w:right w:type="dxa" w:w="100"/>
            </w:tcMar>
            <w:vAlign w:val="center"/>
          </w:tcPr>
          <w:p>
            <w:pPr>
              <w:jc w:val="left"/>
            </w:pPr>
            <w:r>
              <w:rPr>
                <w:b/>
                <w:bCs/>
                <w:color w:val="FFFFFF"/>
                <w:sz w:val="19"/>
                <w:szCs w:val="19"/>
              </w:rPr>
              <w:t xml:space="preserve">Resultado local</w:t>
            </w:r>
          </w:p>
        </w:tc>
      </w:tr>
      <w:tr>
        <w:trPr>
          <w:cantSplit/>
        </w:trPr>
        <w:tc>
          <w:tcPr>
            <w:tcW w:type="dxa" w:w="5600"/>
            <w:tcMar>
              <w:top w:type="dxa" w:w="80"/>
              <w:left w:type="dxa" w:w="100"/>
              <w:bottom w:type="dxa" w:w="80"/>
              <w:right w:type="dxa" w:w="100"/>
            </w:tcMar>
            <w:vAlign w:val="center"/>
          </w:tcPr>
          <w:p>
            <w:pPr>
              <w:jc w:val="left"/>
            </w:pPr>
            <w:r>
              <w:rPr>
                <w:b w:val="false"/>
                <w:bCs w:val="false"/>
                <w:sz w:val="19"/>
                <w:szCs w:val="19"/>
              </w:rPr>
              <w:t xml:space="preserve">Cenários aprovados</w:t>
            </w:r>
          </w:p>
        </w:tc>
        <w:tc>
          <w:tcPr>
            <w:tcW w:type="dxa" w:w="3471"/>
            <w:tcMar>
              <w:top w:type="dxa" w:w="80"/>
              <w:left w:type="dxa" w:w="100"/>
              <w:bottom w:type="dxa" w:w="80"/>
              <w:right w:type="dxa" w:w="100"/>
            </w:tcMar>
            <w:vAlign w:val="center"/>
          </w:tcPr>
          <w:p>
            <w:pPr>
              <w:jc w:val="center"/>
            </w:pPr>
            <w:r>
              <w:rPr>
                <w:b w:val="false"/>
                <w:bCs w:val="false"/>
                <w:sz w:val="19"/>
                <w:szCs w:val="19"/>
              </w:rPr>
              <w:t xml:space="preserve">34</w:t>
            </w:r>
          </w:p>
        </w:tc>
      </w:tr>
      <w:tr>
        <w:trPr>
          <w:cantSplit/>
        </w:trPr>
        <w:tc>
          <w:tcPr>
            <w:tcW w:type="dxa" w:w="5600"/>
            <w:tcMar>
              <w:top w:type="dxa" w:w="80"/>
              <w:left w:type="dxa" w:w="100"/>
              <w:bottom w:type="dxa" w:w="80"/>
              <w:right w:type="dxa" w:w="100"/>
            </w:tcMar>
            <w:vAlign w:val="center"/>
          </w:tcPr>
          <w:p>
            <w:pPr>
              <w:jc w:val="left"/>
            </w:pPr>
            <w:r>
              <w:rPr>
                <w:b w:val="false"/>
                <w:bCs w:val="false"/>
                <w:sz w:val="19"/>
                <w:szCs w:val="19"/>
              </w:rPr>
              <w:t xml:space="preserve">Falhas / ignorados / instáveis</w:t>
            </w:r>
          </w:p>
        </w:tc>
        <w:tc>
          <w:tcPr>
            <w:tcW w:type="dxa" w:w="3471"/>
            <w:tcMar>
              <w:top w:type="dxa" w:w="80"/>
              <w:left w:type="dxa" w:w="100"/>
              <w:bottom w:type="dxa" w:w="80"/>
              <w:right w:type="dxa" w:w="100"/>
            </w:tcMar>
            <w:vAlign w:val="center"/>
          </w:tcPr>
          <w:p>
            <w:pPr>
              <w:jc w:val="center"/>
            </w:pPr>
            <w:r>
              <w:rPr>
                <w:b w:val="false"/>
                <w:bCs w:val="false"/>
                <w:sz w:val="19"/>
                <w:szCs w:val="19"/>
              </w:rPr>
              <w:t xml:space="preserve">0 / 0 / 0</w:t>
            </w:r>
          </w:p>
        </w:tc>
      </w:tr>
      <w:tr>
        <w:trPr>
          <w:cantSplit/>
        </w:trPr>
        <w:tc>
          <w:tcPr>
            <w:tcW w:type="dxa" w:w="5600"/>
            <w:tcMar>
              <w:top w:type="dxa" w:w="80"/>
              <w:left w:type="dxa" w:w="100"/>
              <w:bottom w:type="dxa" w:w="80"/>
              <w:right w:type="dxa" w:w="100"/>
            </w:tcMar>
            <w:vAlign w:val="center"/>
          </w:tcPr>
          <w:p>
            <w:pPr>
              <w:jc w:val="left"/>
            </w:pPr>
            <w:r>
              <w:rPr>
                <w:b w:val="false"/>
                <w:bCs w:val="false"/>
                <w:sz w:val="19"/>
                <w:szCs w:val="19"/>
              </w:rPr>
              <w:t xml:space="preserve">Duração do reteste após dependências</w:t>
            </w:r>
          </w:p>
        </w:tc>
        <w:tc>
          <w:tcPr>
            <w:tcW w:type="dxa" w:w="3471"/>
            <w:tcMar>
              <w:top w:type="dxa" w:w="80"/>
              <w:left w:type="dxa" w:w="100"/>
              <w:bottom w:type="dxa" w:w="80"/>
              <w:right w:type="dxa" w:w="100"/>
            </w:tcMar>
            <w:vAlign w:val="center"/>
          </w:tcPr>
          <w:p>
            <w:pPr>
              <w:jc w:val="center"/>
            </w:pPr>
            <w:r>
              <w:rPr>
                <w:b w:val="false"/>
                <w:bCs w:val="false"/>
                <w:sz w:val="19"/>
                <w:szCs w:val="19"/>
              </w:rPr>
              <w:t xml:space="preserve">74,821 s</w:t>
            </w:r>
          </w:p>
        </w:tc>
      </w:tr>
    </w:tbl>
    <w:p>
      <w:pPr>
        <w:spacing w:after="180" w:line="300"/>
        <w:jc w:val="both"/>
      </w:pPr>
      <w:r>
        <w:rPr>
          <w:i/>
          <w:iCs/>
          <w:sz w:val="22"/>
          <w:szCs w:val="22"/>
        </w:rPr>
        <w:t xml:space="preserve">Fonte: docs/testes/evidencias/execucoes.json. A revisão visual de 28/10 não constitui nova execução integral dessa suíte.</w:t>
      </w:r>
    </w:p>
    <w:p>
      <w:pPr>
        <w:pStyle w:val="Heading2"/>
        <w:spacing w:after="160" w:before="300"/>
      </w:pPr>
      <w:r>
        <w:rPr>
          <w:b/>
          <w:bCs/>
          <w:color w:val="1F3864"/>
          <w:sz w:val="25"/>
          <w:szCs w:val="25"/>
        </w:rPr>
        <w:t xml:space="preserve">6.26. Planos de Assinatura</w:t>
      </w:r>
    </w:p>
    <w:p>
      <w:pPr>
        <w:spacing w:after="180" w:line="300"/>
        <w:jc w:val="both"/>
      </w:pPr>
      <w:r>
        <w:rPr>
          <w:sz w:val="22"/>
          <w:szCs w:val="22"/>
        </w:rPr>
        <w:t xml:space="preserve">A página inicial apresenta os três planos antes do cadastro, com o Gratuito em primeiro lugar e o convite para começar sem pagar (RF49). Os valores e as vantagens exibidos vêm da própria API, a mesma que aplica os limites, de modo que a página e o sistema nunca divergem.</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32 – Planos na página inicial</w:t>
      </w:r>
    </w:p>
    <w:p>
      <w:pPr>
        <w:spacing w:after="180" w:line="300"/>
        <w:jc w:val="both"/>
      </w:pPr>
      <w:r>
        <w:rPr>
          <w:sz w:val="22"/>
          <w:szCs w:val="22"/>
        </w:rPr>
        <w:t xml:space="preserve">Dentro do sistema, a tela de planos mostra o plano do escritório e quanto ele usa de cada limite, com a barra em vermelho quando o limite foi atingido, e os planos superiores com o botão de contratação, que abre um e-mail para a equipe comercial. A captura atual usa o escritório de demonstração no plano Profissional, com cinco usuários e quatro processos. A interface também oferece uma simulação de PIX dos planos, identificada como teste e sem alteração da assinatura real. Quando um recurso pago é usado no Gratuito — por exemplo, o assistente de IA —, a API recusa a operação e a tela exibe a mensagem indicando o plano que o inclui (RN35).</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33 – Plano atual, uso dos limites e planos pagos</w:t>
      </w:r>
    </w:p>
    <w:p>
      <w:pPr>
        <w:pStyle w:val="Heading2"/>
        <w:spacing w:after="160" w:before="300"/>
      </w:pPr>
      <w:r>
        <w:rPr>
          <w:b/>
          <w:bCs/>
          <w:color w:val="1F3864"/>
          <w:sz w:val="25"/>
          <w:szCs w:val="25"/>
        </w:rPr>
        <w:t xml:space="preserve">6.27. Feriados Locais no Cálculo de Prazos</w:t>
      </w:r>
    </w:p>
    <w:p>
      <w:pPr>
        <w:spacing w:after="180" w:line="300"/>
        <w:jc w:val="both"/>
      </w:pPr>
      <w:r>
        <w:rPr>
          <w:sz w:val="22"/>
          <w:szCs w:val="22"/>
        </w:rPr>
        <w:t xml:space="preserve">A aba Feriados locais da agenda reúne os feriados da comarca e as suspensões de expediente do tribunal, com a indicação dos que se repetem todo ano (RF50). O texto da própria tela lembra que os feriados nacionais e o recesso forense já entram no cálculo.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34 – Feriados locais do escritório</w:t>
      </w:r>
    </w:p>
    <w:p>
      <w:pPr>
        <w:spacing w:after="180" w:line="300"/>
        <w:jc w:val="both"/>
      </w:pPr>
      <w:r>
        <w:rPr>
          <w:sz w:val="22"/>
          <w:szCs w:val="22"/>
        </w:rPr>
        <w:t xml:space="preserve">Na calculadora de prazos, o feriado local passa a contar: um prazo de um dia útil iniciado em 01/12/2026 vence em 03/12, e não em 02/12, aniversário de Araçatuba. A tela informa qual feriado local mudou o resultado, para que o advogado confira a data antes de lançá-la (RN36).</w:t>
      </w:r>
    </w:p>
    <w:p>
      <w:pPr>
        <w:keepNext/>
        <w:spacing w:after="8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3971925"/>
                    </a:xfrm>
                    <a:prstGeom prst="rect">
                      <a:avLst/>
                    </a:prstGeom>
                  </pic:spPr>
                </pic:pic>
              </a:graphicData>
            </a:graphic>
          </wp:inline>
        </w:drawing>
      </w:r>
    </w:p>
    <w:p>
      <w:pPr>
        <w:spacing w:after="240"/>
        <w:jc w:val="center"/>
      </w:pPr>
      <w:r>
        <w:rPr>
          <w:i/>
          <w:iCs/>
          <w:color w:val="555555"/>
          <w:sz w:val="20"/>
          <w:szCs w:val="20"/>
        </w:rPr>
        <w:t xml:space="preserve">Figura 35 – Calculadora de prazos considerando um feriado local</w:t>
      </w:r>
    </w:p>
    <w:p>
      <w:pPr>
        <w:pStyle w:val="Heading2"/>
        <w:spacing w:after="160" w:before="300"/>
      </w:pPr>
      <w:r>
        <w:rPr>
          <w:b/>
          <w:bCs/>
          <w:color w:val="1F3864"/>
          <w:sz w:val="25"/>
          <w:szCs w:val="25"/>
        </w:rPr>
        <w:t xml:space="preserve">6.28. Preenchimento pelo CNPJ</w:t>
      </w:r>
    </w:p>
    <w:p>
      <w:pPr>
        <w:spacing w:after="180" w:line="300"/>
        <w:jc w:val="both"/>
      </w:pPr>
      <w:r>
        <w:rPr>
          <w:sz w:val="22"/>
          <w:szCs w:val="22"/>
        </w:rPr>
        <w:t xml:space="preserve">No cadastro de cliente pessoa jurídica, ao sair do campo de CNPJ o sistema consulta o cadastro da empresa e preenche razão social, e-mail, telefone, CEP e endereço; o aviso abaixo do campo lembra de conferir os dados antes de salvar (RF51). Os nomes chegam da Receita Federal em maiúsculas e são ajustados para a forma usual, preservando siglas como LTDA e numerais romanos, como em "Rua XV de Novembro".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36 – Cadastro de cliente preenchido a partir do CNPJ</w:t>
      </w:r>
    </w:p>
    <w:p>
      <w:pPr>
        <w:spacing w:after="180" w:line="300"/>
        <w:jc w:val="both"/>
      </w:pPr>
      <w:r>
        <w:rPr>
          <w:sz w:val="22"/>
          <w:szCs w:val="22"/>
        </w:rPr>
        <w:t xml:space="preserve">O mesmo acontece na criação de um escritório pela página pública, que preenche nome, telefone, e-mail, CEP, cidade, endereço e UF. Só os campos vazios são preenchidos, e um CNPJ não encontrado apenas gera um aviso, sem impedir o cadastro (RN37). Nas capturas desta revisão, a resposta do BrasilAPI foi simulada com dados fictícios; isso ilustra o preenchimento e não comprova disponibilidade ou situação cadastral de uma empresa real.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37 – Criação de escritório preenchida a partir do CNPJ</w:t>
      </w:r>
    </w:p>
    <w:p>
      <w:pPr>
        <w:pStyle w:val="Heading2"/>
        <w:spacing w:after="160" w:before="300"/>
      </w:pPr>
      <w:r>
        <w:rPr>
          <w:b/>
          <w:bCs/>
          <w:color w:val="1F3864"/>
          <w:sz w:val="25"/>
          <w:szCs w:val="25"/>
        </w:rPr>
        <w:t xml:space="preserve">6.29. Cadastro por Etapas e Conferência de Prazos</w:t>
      </w:r>
    </w:p>
    <w:p>
      <w:pPr>
        <w:spacing w:after="180" w:line="300"/>
        <w:jc w:val="both"/>
      </w:pPr>
      <w:r>
        <w:rPr>
          <w:sz w:val="22"/>
          <w:szCs w:val="22"/>
        </w:rPr>
        <w:t xml:space="preserve">A revisão de 27/10/2026 adotou divulgação progressiva: o cadastro público foi dividido em escritório, localização, administrador e revisão; voltar conserva os dados e a conta só é enviada após a confirmação final. A máscara e a API passaram a aceitar os 12 primeiros caracteres alfanuméricos e os dois últimos dígitos numéricos do CNPJ, sem descartar letras. Os registros numéricos anteriores continuam aceitos. Essa validação verifica a estrutura, não comprova inscrição ou situação cadastral na Receita Federal.</w:t>
      </w:r>
    </w:p>
    <w:p>
      <w:pPr>
        <w:spacing w:after="180" w:line="300"/>
        <w:jc w:val="both"/>
      </w:pPr>
      <w:r>
        <w:rPr>
          <w:sz w:val="22"/>
          <w:szCs w:val="22"/>
        </w:rPr>
        <w:t xml:space="preserve">O menu lateral foi agrupado por tarefa e pode ser recolhido, com nomes acessíveis nos ícones. A densidade das listas é ajustável e apenas preferências visuais ficam salvas no aparelho. A ajuda contextual começa resumida, o checklist de um escritório já preenchido destaca o próximo passo e a busca global abre o registro selecionado. O indicador de atualização apresenta o horário da última consulta concluída e permite atualizar, em vez de afirmar sincronização em tempo real.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38 – Painel com navegação agrupada e ajuda progressiva, sobre dados fictícios</w:t>
      </w:r>
    </w:p>
    <w:p>
      <w:pPr>
        <w:spacing w:after="180" w:line="300"/>
        <w:jc w:val="both"/>
      </w:pPr>
      <w:r>
        <w:rPr>
          <w:sz w:val="22"/>
          <w:szCs w:val="22"/>
        </w:rPr>
        <w:t xml:space="preserve">A conferência de intimação (RF53) é uma ação distinta de leitura. Administrador ou advogado informa a data conferida, descreve a verificação e confirma a leitura da publicação e do calendário aplicável. A API registra autor e horário, mantém o evento associado na mesma data e rejeita uma revisão enviada com prazo de referência desatualizado. Alterar a data diretamente na agenda invalida a conferência anterior. O cálculo automático continua sendo apoio, sem substituir a interpretação jurídica do profissional.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39 – Conferência de prazo de publicação fictícia, distinta da marcação de leitura</w:t>
      </w:r>
    </w:p>
    <w:p>
      <w:pPr>
        <w:pStyle w:val="Heading1"/>
        <w:spacing w:after="200" w:before="420"/>
      </w:pPr>
      <w:r>
        <w:rPr>
          <w:b/>
          <w:bCs/>
          <w:color w:val="1F3864"/>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1F3864"/>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com os aplicativos de agenda, que assinam o calendário do escritório, e com o BrasilAPI e o ViaCEP, fontes públicas consultadas pelo navegador para preencher os dados da empresa pelo CNPJ e o endereço pelo CEP. A automação via n8n, prevista originalmente, permanece adiada.</w:t>
      </w:r>
    </w:p>
    <w:p>
      <w:pPr>
        <w:keepNext/>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color w:val="555555"/>
          <w:sz w:val="20"/>
          <w:szCs w:val="20"/>
        </w:rPr>
        <w:t xml:space="preserve">Figura 40 – Diagrama de Contexto (C4 – Nível 1)</w:t>
      </w:r>
    </w:p>
    <w:p>
      <w:pPr>
        <w:pStyle w:val="Heading2"/>
        <w:spacing w:after="160" w:before="300"/>
      </w:pPr>
      <w:r>
        <w:rPr>
          <w:b/>
          <w:bCs/>
          <w:color w:val="1F3864"/>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keepNext/>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41 – Diagrama de Containers (C4 – Nível 2)</w:t>
      </w:r>
    </w:p>
    <w:p>
      <w:pPr>
        <w:pStyle w:val="Heading2"/>
        <w:spacing w:after="160" w:before="300"/>
      </w:pPr>
      <w:r>
        <w:rPr>
          <w:b/>
          <w:bCs/>
          <w:color w:val="1F3864"/>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planos e IA. Os modelos do Django ORM fazem a comunicação com o PostgreSQL. Os testes do backend seguem a mesma divisão por assunto.</w:t>
      </w:r>
    </w:p>
    <w:p>
      <w:pPr>
        <w:keepNext/>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42 – Diagrama de Componentes – Backend (Django)</w:t>
      </w:r>
    </w:p>
    <w:p>
      <w:pPr>
        <w:pStyle w:val="Heading2"/>
        <w:spacing w:after="160" w:before="300"/>
      </w:pPr>
      <w:r>
        <w:rPr>
          <w:b/>
          <w:bCs/>
          <w:color w:val="1F3864"/>
          <w:sz w:val="25"/>
          <w:szCs w:val="25"/>
        </w:rPr>
        <w:t xml:space="preserve">7.4. Integração Contínua e Qualidade</w:t>
      </w:r>
    </w:p>
    <w:p>
      <w:pPr>
        <w:spacing w:after="180" w:line="300"/>
        <w:jc w:val="both"/>
      </w:pPr>
      <w:r>
        <w:rPr>
          <w:sz w:val="22"/>
          <w:szCs w:val="22"/>
        </w:rPr>
        <w:t xml:space="preserve">O workflow inspecionado do GitHub Actions define trabalhos de backend, frontend, imagem Docker/HTTP da atividade de laboratório e ponta a ponta. Prevê banco efêmero, verificações Django, OpenAPI, lint, build e navegador com dados fictícios. O arquivo de CI já continha alterações locais antes desta auditoria; não se atribui a esta rodada sua autoria nem uma execução remota. As verificações relatadas a seguir foram executadas localmente. Não houve commit, push ou deploy das correções, e sucesso local não comprova proteção de branch ou saúde da versão publicada.</w:t>
      </w:r>
    </w:p>
    <w:p>
      <w:pPr>
        <w:pStyle w:val="Heading2"/>
        <w:spacing w:after="160" w:before="300"/>
      </w:pPr>
      <w:r>
        <w:rPr>
          <w:b/>
          <w:bCs/>
          <w:color w:val="1F3864"/>
          <w:sz w:val="25"/>
          <w:szCs w:val="25"/>
        </w:rPr>
        <w:t xml:space="preserve">7.5. Resultados da Auditoria Técnica</w:t>
      </w:r>
    </w:p>
    <w:p>
      <w:pPr>
        <w:spacing w:after="180" w:line="300"/>
        <w:jc w:val="both"/>
      </w:pPr>
      <w:r>
        <w:rPr>
          <w:sz w:val="22"/>
          <w:szCs w:val="22"/>
        </w:rPr>
        <w:t xml:space="preserve">A auditoria de 27/10/2026 examinou o repositório LexNexo na branch main, com base no commit 8b41a295e0d7be677600295eb56537bb2c0f871e e nas alterações locais de correção. Foram inventariados 27 modelos, 37 migrações, 13 páginas e 166 operações em 102 caminhos canônicos da API. A descoberta, a execução inicial, a reprodução dos defeitos, as correções e os retestes foram registrados em docs/testes. Os resultados se referem a esse estado local e não a uma versão comprovadamente implantada.</w:t>
      </w:r>
    </w:p>
    <w:p>
      <w:pPr>
        <w:spacing w:after="180" w:line="300"/>
        <w:jc w:val="both"/>
      </w:pPr>
      <w:r>
        <w:rPr>
          <w:sz w:val="22"/>
          <w:szCs w:val="22"/>
        </w:rPr>
        <w:t xml:space="preserve">Na linha de base, passaram 519 testes Django, 268 Jest e 26 Playwright. Após as correções, a rodada final aprovou os 841 casos automatizados da tabela a seguir, sem falhas ou casos ignorados. A proteção de 155 operações contra acesso sem autenticação foi exercitada como subtestes de um método Django; esses subtestes não foram somados como casos adicionais.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900"/>
        <w:gridCol w:w="2171"/>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Camada</w:t>
            </w:r>
          </w:p>
        </w:tc>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Casos</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Linhas</w:t>
            </w:r>
          </w:p>
        </w:tc>
        <w:tc>
          <w:tcPr>
            <w:tcW w:type="dxa" w:w="2171"/>
            <w:shd w:fill="1F3864" w:val="clear"/>
            <w:tcMar>
              <w:top w:type="dxa" w:w="80"/>
              <w:left w:type="dxa" w:w="100"/>
              <w:bottom w:type="dxa" w:w="80"/>
              <w:right w:type="dxa" w:w="100"/>
            </w:tcMar>
            <w:vAlign w:val="center"/>
          </w:tcPr>
          <w:p>
            <w:pPr>
              <w:jc w:val="left"/>
            </w:pPr>
            <w:r>
              <w:rPr>
                <w:b/>
                <w:bCs/>
                <w:color w:val="FFFFFF"/>
                <w:sz w:val="19"/>
                <w:szCs w:val="19"/>
              </w:rPr>
              <w:t xml:space="preserve">Ramos</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Backend Django</w:t>
            </w:r>
          </w:p>
        </w:tc>
        <w:tc>
          <w:tcPr>
            <w:tcW w:type="dxa" w:w="1600"/>
            <w:shd w:fill="FFFFFF" w:val="clear"/>
            <w:tcMar>
              <w:top w:type="dxa" w:w="80"/>
              <w:left w:type="dxa" w:w="100"/>
              <w:bottom w:type="dxa" w:w="80"/>
              <w:right w:type="dxa" w:w="100"/>
            </w:tcMar>
            <w:vAlign w:val="center"/>
          </w:tcPr>
          <w:p>
            <w:pPr>
              <w:jc w:val="center"/>
            </w:pPr>
            <w:r>
              <w:rPr>
                <w:b w:val="false"/>
                <w:bCs w:val="false"/>
                <w:sz w:val="19"/>
                <w:szCs w:val="19"/>
              </w:rPr>
              <w:t xml:space="preserve">532</w:t>
            </w:r>
          </w:p>
        </w:tc>
        <w:tc>
          <w:tcPr>
            <w:tcW w:type="dxa" w:w="1900"/>
            <w:shd w:fill="FFFFFF" w:val="clear"/>
            <w:tcMar>
              <w:top w:type="dxa" w:w="80"/>
              <w:left w:type="dxa" w:w="100"/>
              <w:bottom w:type="dxa" w:w="80"/>
              <w:right w:type="dxa" w:w="100"/>
            </w:tcMar>
            <w:vAlign w:val="center"/>
          </w:tcPr>
          <w:p>
            <w:pPr>
              <w:jc w:val="center"/>
            </w:pPr>
            <w:r>
              <w:rPr>
                <w:b w:val="false"/>
                <w:bCs w:val="false"/>
                <w:sz w:val="19"/>
                <w:szCs w:val="19"/>
              </w:rPr>
              <w:t xml:space="preserve">91,47%</w:t>
            </w:r>
          </w:p>
        </w:tc>
        <w:tc>
          <w:tcPr>
            <w:tcW w:type="dxa" w:w="2171"/>
            <w:shd w:fill="FFFFFF" w:val="clear"/>
            <w:tcMar>
              <w:top w:type="dxa" w:w="80"/>
              <w:left w:type="dxa" w:w="100"/>
              <w:bottom w:type="dxa" w:w="80"/>
              <w:right w:type="dxa" w:w="100"/>
            </w:tcMar>
            <w:vAlign w:val="center"/>
          </w:tcPr>
          <w:p>
            <w:pPr>
              <w:jc w:val="center"/>
            </w:pPr>
            <w:r>
              <w:rPr>
                <w:b w:val="false"/>
                <w:bCs w:val="false"/>
                <w:sz w:val="19"/>
                <w:szCs w:val="19"/>
              </w:rPr>
              <w:t xml:space="preserve">79,04%</w:t>
            </w:r>
          </w:p>
        </w:tc>
      </w:tr>
      <w:tr>
        <w:trPr>
          <w:cantSplit/>
        </w:trPr>
        <w:tc>
          <w:tcPr>
            <w:tcW w:type="dxa" w:w="3400"/>
            <w:shd w:fill="F2F5FA" w:val="clear"/>
            <w:tcMar>
              <w:top w:type="dxa" w:w="80"/>
              <w:left w:type="dxa" w:w="100"/>
              <w:bottom w:type="dxa" w:w="80"/>
              <w:right w:type="dxa" w:w="100"/>
            </w:tcMar>
            <w:vAlign w:val="center"/>
          </w:tcPr>
          <w:p>
            <w:pPr>
              <w:jc w:val="left"/>
            </w:pPr>
            <w:r>
              <w:rPr>
                <w:b w:val="false"/>
                <w:bCs w:val="false"/>
                <w:sz w:val="19"/>
                <w:szCs w:val="19"/>
              </w:rPr>
              <w:t xml:space="preserve">Componentes Jest</w:t>
            </w:r>
          </w:p>
        </w:tc>
        <w:tc>
          <w:tcPr>
            <w:tcW w:type="dxa" w:w="1600"/>
            <w:shd w:fill="F2F5FA" w:val="clear"/>
            <w:tcMar>
              <w:top w:type="dxa" w:w="80"/>
              <w:left w:type="dxa" w:w="100"/>
              <w:bottom w:type="dxa" w:w="80"/>
              <w:right w:type="dxa" w:w="100"/>
            </w:tcMar>
            <w:vAlign w:val="center"/>
          </w:tcPr>
          <w:p>
            <w:pPr>
              <w:jc w:val="center"/>
            </w:pPr>
            <w:r>
              <w:rPr>
                <w:b w:val="false"/>
                <w:bCs w:val="false"/>
                <w:sz w:val="19"/>
                <w:szCs w:val="19"/>
              </w:rPr>
              <w:t xml:space="preserve">275</w:t>
            </w:r>
          </w:p>
        </w:tc>
        <w:tc>
          <w:tcPr>
            <w:tcW w:type="dxa" w:w="1900"/>
            <w:shd w:fill="F2F5FA" w:val="clear"/>
            <w:tcMar>
              <w:top w:type="dxa" w:w="80"/>
              <w:left w:type="dxa" w:w="100"/>
              <w:bottom w:type="dxa" w:w="80"/>
              <w:right w:type="dxa" w:w="100"/>
            </w:tcMar>
            <w:vAlign w:val="center"/>
          </w:tcPr>
          <w:p>
            <w:pPr>
              <w:jc w:val="center"/>
            </w:pPr>
            <w:r>
              <w:rPr>
                <w:b w:val="false"/>
                <w:bCs w:val="false"/>
                <w:sz w:val="19"/>
                <w:szCs w:val="19"/>
              </w:rPr>
              <w:t xml:space="preserve">35,55%</w:t>
            </w:r>
          </w:p>
        </w:tc>
        <w:tc>
          <w:tcPr>
            <w:tcW w:type="dxa" w:w="2171"/>
            <w:shd w:fill="F2F5FA" w:val="clear"/>
            <w:tcMar>
              <w:top w:type="dxa" w:w="80"/>
              <w:left w:type="dxa" w:w="100"/>
              <w:bottom w:type="dxa" w:w="80"/>
              <w:right w:type="dxa" w:w="100"/>
            </w:tcMar>
            <w:vAlign w:val="center"/>
          </w:tcPr>
          <w:p>
            <w:pPr>
              <w:jc w:val="center"/>
            </w:pPr>
            <w:r>
              <w:rPr>
                <w:b w:val="false"/>
                <w:bCs w:val="false"/>
                <w:sz w:val="19"/>
                <w:szCs w:val="19"/>
              </w:rPr>
              <w:t xml:space="preserve">31,85%</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Fluxos Playwright</w:t>
            </w:r>
          </w:p>
        </w:tc>
        <w:tc>
          <w:tcPr>
            <w:tcW w:type="dxa" w:w="1600"/>
            <w:shd w:fill="FFFFFF" w:val="clear"/>
            <w:tcMar>
              <w:top w:type="dxa" w:w="80"/>
              <w:left w:type="dxa" w:w="100"/>
              <w:bottom w:type="dxa" w:w="80"/>
              <w:right w:type="dxa" w:w="100"/>
            </w:tcMar>
            <w:vAlign w:val="center"/>
          </w:tcPr>
          <w:p>
            <w:pPr>
              <w:jc w:val="center"/>
            </w:pPr>
            <w:r>
              <w:rPr>
                <w:b w:val="false"/>
                <w:bCs w:val="false"/>
                <w:sz w:val="19"/>
                <w:szCs w:val="19"/>
              </w:rPr>
              <w:t xml:space="preserve">34</w:t>
            </w:r>
          </w:p>
        </w:tc>
        <w:tc>
          <w:tcPr>
            <w:tcW w:type="dxa" w:w="1900"/>
            <w:shd w:fill="FFFFFF" w:val="clear"/>
            <w:tcMar>
              <w:top w:type="dxa" w:w="80"/>
              <w:left w:type="dxa" w:w="100"/>
              <w:bottom w:type="dxa" w:w="80"/>
              <w:right w:type="dxa" w:w="100"/>
            </w:tcMar>
            <w:vAlign w:val="center"/>
          </w:tcPr>
          <w:p>
            <w:pPr>
              <w:jc w:val="center"/>
            </w:pPr>
            <w:r>
              <w:rPr>
                <w:b w:val="false"/>
                <w:bCs w:val="false"/>
                <w:sz w:val="19"/>
                <w:szCs w:val="19"/>
              </w:rPr>
              <w:t xml:space="preserve">Não medida</w:t>
            </w:r>
          </w:p>
        </w:tc>
        <w:tc>
          <w:tcPr>
            <w:tcW w:type="dxa" w:w="2171"/>
            <w:shd w:fill="FFFFFF" w:val="clear"/>
            <w:tcMar>
              <w:top w:type="dxa" w:w="80"/>
              <w:left w:type="dxa" w:w="100"/>
              <w:bottom w:type="dxa" w:w="80"/>
              <w:right w:type="dxa" w:w="100"/>
            </w:tcMar>
            <w:vAlign w:val="center"/>
          </w:tcPr>
          <w:p>
            <w:pPr>
              <w:jc w:val="center"/>
            </w:pPr>
            <w:r>
              <w:rPr>
                <w:b w:val="false"/>
                <w:bCs w:val="false"/>
                <w:sz w:val="19"/>
                <w:szCs w:val="19"/>
              </w:rPr>
              <w:t xml:space="preserve">Não medida</w:t>
            </w:r>
          </w:p>
        </w:tc>
      </w:tr>
      <w:tr>
        <w:trPr>
          <w:cantSplit/>
        </w:trPr>
        <w:tc>
          <w:tcPr>
            <w:tcW w:type="dxa" w:w="3400"/>
            <w:shd w:fill="F2F5FA" w:val="clear"/>
            <w:tcMar>
              <w:top w:type="dxa" w:w="80"/>
              <w:left w:type="dxa" w:w="100"/>
              <w:bottom w:type="dxa" w:w="80"/>
              <w:right w:type="dxa" w:w="100"/>
            </w:tcMar>
            <w:vAlign w:val="center"/>
          </w:tcPr>
          <w:p>
            <w:pPr>
              <w:jc w:val="left"/>
            </w:pPr>
            <w:r>
              <w:rPr>
                <w:b w:val="false"/>
                <w:bCs w:val="false"/>
                <w:sz w:val="19"/>
                <w:szCs w:val="19"/>
              </w:rPr>
              <w:t xml:space="preserve">Total de casos</w:t>
            </w:r>
          </w:p>
        </w:tc>
        <w:tc>
          <w:tcPr>
            <w:tcW w:type="dxa" w:w="1600"/>
            <w:shd w:fill="F2F5FA" w:val="clear"/>
            <w:tcMar>
              <w:top w:type="dxa" w:w="80"/>
              <w:left w:type="dxa" w:w="100"/>
              <w:bottom w:type="dxa" w:w="80"/>
              <w:right w:type="dxa" w:w="100"/>
            </w:tcMar>
            <w:vAlign w:val="center"/>
          </w:tcPr>
          <w:p>
            <w:pPr>
              <w:jc w:val="center"/>
            </w:pPr>
            <w:r>
              <w:rPr>
                <w:b w:val="false"/>
                <w:bCs w:val="false"/>
                <w:sz w:val="19"/>
                <w:szCs w:val="19"/>
              </w:rPr>
              <w:t xml:space="preserve">841</w:t>
            </w:r>
          </w:p>
        </w:tc>
        <w:tc>
          <w:tcPr>
            <w:tcW w:type="dxa" w:w="1900"/>
            <w:shd w:fill="F2F5FA" w:val="clear"/>
            <w:tcMar>
              <w:top w:type="dxa" w:w="80"/>
              <w:left w:type="dxa" w:w="100"/>
              <w:bottom w:type="dxa" w:w="80"/>
              <w:right w:type="dxa" w:w="100"/>
            </w:tcMar>
            <w:vAlign w:val="center"/>
          </w:tcPr>
          <w:p>
            <w:pPr>
              <w:jc w:val="center"/>
            </w:pPr>
            <w:r>
              <w:rPr>
                <w:b w:val="false"/>
                <w:bCs w:val="false"/>
                <w:sz w:val="19"/>
                <w:szCs w:val="19"/>
              </w:rPr>
              <w:t xml:space="preserve">Não se soma</w:t>
            </w:r>
          </w:p>
        </w:tc>
        <w:tc>
          <w:tcPr>
            <w:tcW w:type="dxa" w:w="2171"/>
            <w:shd w:fill="F2F5FA" w:val="clear"/>
            <w:tcMar>
              <w:top w:type="dxa" w:w="80"/>
              <w:left w:type="dxa" w:w="100"/>
              <w:bottom w:type="dxa" w:w="80"/>
              <w:right w:type="dxa" w:w="100"/>
            </w:tcMar>
            <w:vAlign w:val="center"/>
          </w:tcPr>
          <w:p>
            <w:pPr>
              <w:jc w:val="center"/>
            </w:pPr>
            <w:r>
              <w:rPr>
                <w:b w:val="false"/>
                <w:bCs w:val="false"/>
                <w:sz w:val="19"/>
                <w:szCs w:val="19"/>
              </w:rPr>
              <w:t xml:space="preserve">Não se soma</w:t>
            </w:r>
          </w:p>
        </w:tc>
      </w:tr>
    </w:tbl>
    <w:p>
      <w:pPr>
        <w:spacing w:after="180" w:line="300"/>
        <w:jc w:val="both"/>
      </w:pPr>
      <w:r>
        <w:rPr>
          <w:i/>
          <w:iCs/>
          <w:sz w:val="22"/>
          <w:szCs w:val="22"/>
        </w:rPr>
        <w:t xml:space="preserve">Casos aprovados e cobertura da rodada final local. Fonte: evidências da auditoria, 2026.</w:t>
      </w:r>
    </w:p>
    <w:p>
      <w:pPr>
        <w:spacing w:after="180" w:line="300"/>
        <w:jc w:val="both"/>
      </w:pPr>
      <w:r>
        <w:rPr>
          <w:sz w:val="22"/>
          <w:szCs w:val="22"/>
        </w:rPr>
        <w:t xml:space="preserve">A cobertura do backend corresponde a 4.420 de 4.832 linhas do pacote advocacia, excluindo testes e migrações; core, configurações e armazenamento ficam fora desse denominador. A do frontend corresponde a 1.621 de 4.559 linhas JS/JSX de src, sem CSS e arquivos públicos. A cobertura do Playwright não foi adicionada à do Jest. O backend superou a referência de 80% de linhas; o frontend não atingiu a meta de 70%, devendo ampliar os cenários de componentes e estados da interface.</w:t>
      </w:r>
    </w:p>
    <w:p>
      <w:pPr>
        <w:spacing w:after="180" w:line="300"/>
        <w:jc w:val="both"/>
      </w:pPr>
      <w:r>
        <w:rPr>
          <w:sz w:val="22"/>
          <w:szCs w:val="22"/>
        </w:rPr>
        <w:t xml:space="preserve">Passaram também lint sem avisos, build de produção, verificações Django, detecção de migrações pendentes e validação OpenAPI sem avisos. A checagem de configuração de produção simulada passou com o aviso de HSTS preload deliberadamente silenciado pela configuração existente. O ambiente local usou Python 3.14.7, Django 6.0.8, PostgreSQL 18.6, Node.js 22.23.2 e Next.js 16.4.2; o CI declara Python 3.12 e PostgreSQL 16, combinação cuja execução remota não foi verificada nesta rodada.</w:t>
      </w:r>
    </w:p>
    <w:p>
      <w:pPr>
        <w:spacing w:after="180" w:line="300"/>
        <w:jc w:val="both"/>
      </w:pPr>
      <w:r>
        <w:rPr>
          <w:sz w:val="22"/>
          <w:szCs w:val="22"/>
        </w:rPr>
        <w:t xml:space="preserve">As correções abrangeram permissões de acesso a contratos e horas na ficha de processo; restrição dos destinos de notificações push a provedores permitidos, com revalidação, limite de espera e bloqueio de redirecionamentos; tratamento de chaves push e token mestre malformados; atomicidade ao alterar o escritório; filtros de identificadores e datas; validação de extensão, assinatura e tamanho de uploads em fluxos antes descobertos; e ajuste do código HTTP de logout no OpenAPI.</w:t>
      </w:r>
    </w:p>
    <w:p>
      <w:pPr>
        <w:spacing w:after="180" w:line="300"/>
        <w:jc w:val="both"/>
      </w:pPr>
      <w:r>
        <w:rPr>
          <w:sz w:val="22"/>
          <w:szCs w:val="22"/>
        </w:rPr>
        <w:t xml:space="preserve">Na interface e nas regras de data, foram corrigidas disputas entre gravações de rascunho, preservando a digitação e aguardando gravações pendentes antes do descarte, além do uso indevido do dia UTC em datas locais. Formulários de credenciais passaram a declarar método POST, inclusive para a condição de JavaScript indisponível. A infraestrutura de testes recebeu ajustes de aliases, porta da API, carregamento de preferências e isolamento de rascunhos. Os defeitos e suas regressões estão identificados em docs/testes/DEFEITOS_E_RISCOS.md.</w:t>
      </w:r>
    </w:p>
    <w:p>
      <w:pPr>
        <w:spacing w:after="180" w:line="300"/>
        <w:jc w:val="both"/>
      </w:pPr>
      <w:r>
        <w:rPr>
          <w:sz w:val="22"/>
          <w:szCs w:val="22"/>
        </w:rPr>
        <w:t xml:space="preserve">A análise de dependências distinguiu a resolução nova dos requisitos do ambiente Python instalado, que ainda continha versões antigas com alertas. Depois das atualizações e da revisão dos mínimos, pip-audit não apontou alertas nesse ambiente. No npm, a atualização do zod eliminou o alerta alto; a auditoria de produção ficou sem alertas e a auditoria completa manteve cinco pacotes de baixa gravidade na cadeia Jest/deepmerge, ligados a um alerta raiz. São resultados da data da execução e exigem monitoramento posterior.</w:t>
      </w:r>
    </w:p>
    <w:p>
      <w:pPr>
        <w:spacing w:after="180" w:line="300"/>
        <w:jc w:val="both"/>
      </w:pPr>
      <w:r>
        <w:rPr>
          <w:sz w:val="22"/>
          <w:szCs w:val="22"/>
        </w:rPr>
        <w:t xml:space="preserve">Uma medição exploratória local, com 12 amostras por operação, encontrou medianas de 9,75 ms para clientes, 16,46 ms para processos com página de cinco itens, 18,10 ms para página de 25 itens, 47,49 ms para o painel e 12,07 ms para agenda. Foram observadas, respectivamente, 3, 4, 4, 24 e 3 consultas ao banco. Esses valores descrevem a massa sintética local; não constituem ensaio de carga nem medição da produção.</w:t>
      </w:r>
    </w:p>
    <w:p>
      <w:pPr>
        <w:pStyle w:val="Heading2"/>
        <w:spacing w:after="160" w:before="300"/>
      </w:pPr>
      <w:r>
        <w:rPr>
          <w:b/>
          <w:bCs/>
          <w:color w:val="1F3864"/>
          <w:sz w:val="25"/>
          <w:szCs w:val="25"/>
        </w:rPr>
        <w:t xml:space="preserve">7.6. Testes Práticos na Aplicação Publicada</w:t>
      </w:r>
    </w:p>
    <w:p>
      <w:pPr>
        <w:spacing w:after="180" w:line="300"/>
        <w:jc w:val="both"/>
      </w:pPr>
      <w:r>
        <w:rPr>
          <w:sz w:val="22"/>
          <w:szCs w:val="22"/>
        </w:rPr>
        <w:t xml:space="preserve">Com autorização do responsável pela conta e pelos avisos automáticos decorrentes das operações, foram executadas ações pela interface publicada com dados fictícios identificados como AUDITORIA TCC. Dos 22 casos práticos, 21 foram aprovados e um ficou bloqueado: o anexo foi cadastrado, mas a abertura ou o download não apresentou resultado observável no navegador integrado. A entrega das notificações aos destinatários não foi comprovada.</w:t>
      </w:r>
    </w:p>
    <w:p>
      <w:pPr>
        <w:spacing w:after="180" w:line="300"/>
        <w:jc w:val="both"/>
      </w:pPr>
      <w:r>
        <w:rPr>
          <w:sz w:val="22"/>
          <w:szCs w:val="22"/>
        </w:rPr>
        <w:t xml:space="preserve">Foram mantidos 19 registros de negócio, conforme solicitado: dois clientes, dois processos, quatro eventos de agenda, duas tarefas, um contrato, três parcelas automáticas, um anexo, um apontamento de horas, uma despesa, uma movimentação e um modelo de documento. Os processos foram identificados como AUDITORIA-TCC-20261027-01 e AUDITORIA-TCC-20261027-02, o segundo em segredo de justiça. Nenhum registro criado foi excluído.</w:t>
      </w:r>
    </w:p>
    <w:p>
      <w:pPr>
        <w:spacing w:after="180" w:line="300"/>
        <w:jc w:val="both"/>
      </w:pPr>
      <w:r>
        <w:rPr>
          <w:sz w:val="22"/>
          <w:szCs w:val="22"/>
        </w:rPr>
        <w:t xml:space="preserve">Os eventos compreenderam dois prazos, para 04/11/2026 às 18h e 12/11/2026 às 16h, e duas audiências, para 10/11/2026 às 14h30 e 18/11/2026 às 9h. O cálculo de cinco dias úteis a partir de 27/10 resultou em 04/11, considerando o feriado de 02/11. Os quatro eventos foram reencontrados após encerrar a sessão e entrar novamente. Um evento duplicado durante a disputa de rascunho foi editado para o segundo prazo planejado, preservando o registro.</w:t>
      </w:r>
    </w:p>
    <w:p>
      <w:pPr>
        <w:spacing w:after="180" w:line="300"/>
        <w:jc w:val="both"/>
      </w:pPr>
      <w:r>
        <w:rPr>
          <w:sz w:val="22"/>
          <w:szCs w:val="22"/>
        </w:rPr>
        <w:t xml:space="preserve">O contrato fictício de R$ 120,00 gerou três parcelas de R$ 40,00; o apontamento de 90 minutos a R$ 200,00 por hora totalizou R$ 300,00; a despesa reembolsável foi de R$ 15,50. O preview do modelo substituiu as variáveis do cliente e do processo. A prática também evidenciou os problemas de rascunho e de data local, corrigidos e retestados apenas no código local, sem alterar retroativamente os registros publicados. O inventário e as evidências estão em docs/testes/TESTES_PRATICOS.md.</w:t>
      </w:r>
    </w:p>
    <w:p>
      <w:pPr>
        <w:pStyle w:val="Heading2"/>
        <w:spacing w:after="160" w:before="300"/>
      </w:pPr>
      <w:r>
        <w:rPr>
          <w:b/>
          <w:bCs/>
          <w:color w:val="1F3864"/>
          <w:sz w:val="25"/>
          <w:szCs w:val="25"/>
        </w:rPr>
        <w:t xml:space="preserve">7.7. Avaliação e Limitações</w:t>
      </w:r>
    </w:p>
    <w:p>
      <w:pPr>
        <w:spacing w:after="180" w:line="300"/>
        <w:jc w:val="both"/>
      </w:pPr>
      <w:r>
        <w:rPr>
          <w:sz w:val="22"/>
          <w:szCs w:val="22"/>
        </w:rPr>
        <w:t xml:space="preserve">O parecer é APTO COM RESSALVAS, no escopo local validado. Permanecem pendentes a cobertura mínima do frontend, a comprovação remota do CI e da versão publicada, as verificações administrativas de ACL/RLS e bucket do Supabase, backup e restauração, agendadores e entrega por provedores. Não foram feitas chamadas pagas de IA, testes de carga remotos ou confirmação de pagamento real. As correções permanecem locais, sem deploy.</w:t>
      </w:r>
    </w:p>
    <w:p>
      <w:pPr>
        <w:spacing w:after="180" w:line="300"/>
        <w:jc w:val="both"/>
      </w:pPr>
      <w:r>
        <w:rPr>
          <w:sz w:val="22"/>
          <w:szCs w:val="22"/>
        </w:rPr>
        <w:t xml:space="preserve">A rodada local utilizou um PostgreSQL temporário separado da produção, dados de demonstração, navegador Chromium em perfis de computador e celular, testes Django e Jest. As chamadas externas de IA e de consulta cadastral são simuladas nos testes específicos. A massa de testes não contém informações de clientes reais. Os testes de navegação incluem compromisso para assistente, cadastro por etapas, busca que abre o registro, persistência da aparência e conferência de publicação fictícia.</w:t>
      </w:r>
    </w:p>
    <w:p>
      <w:pPr>
        <w:spacing w:after="180" w:line="300"/>
        <w:jc w:val="both"/>
      </w:pPr>
      <w:r>
        <w:rPr>
          <w:sz w:val="22"/>
          <w:szCs w:val="22"/>
        </w:rPr>
        <w:t xml:space="preserve">As verificações automáticas de acessibilidade executam regras WCAG 2 A/AA do axe nas telas cobertas; não constituem certificação nem substituem inspeção por teclado e leitor de tela. Não foram realizados, nesta rodada, teste formal com três a cinco profissionais independentes, avaliação SUS, medição de ganho de produtividade, ensaio de carga representativo ou auditoria externa de segurança. Portanto, não se afirma eficácia comprovada no uso jurídico real, conformidade integral com a LGPD ou ausência de vulnerabilidades.</w:t>
      </w:r>
    </w:p>
    <w:p>
      <w:pPr>
        <w:spacing w:after="180" w:line="300"/>
        <w:jc w:val="both"/>
      </w:pPr>
      <w:r>
        <w:rPr>
          <w:sz w:val="22"/>
          <w:szCs w:val="22"/>
        </w:rPr>
        <w:t xml:space="preserve">Para a avaliação com usuários, propõe-se observar cinco tarefas: cadastrar cliente, criar processo, lançar e conferir prazo, localizar documento e preparar mensagem ao cliente. Devem ser registrados tempo, erros, pedidos de ajuda e conclusão sem intervenção, com questionário SUS ao final. O teste deve usar dados fictícios e consentimento dos participantes; seus resultados só poderão ser apresentados depois da execução.</w:t>
      </w:r>
    </w:p>
    <w:p>
      <w:pPr>
        <w:spacing w:after="180" w:line="300"/>
        <w:jc w:val="both"/>
      </w:pPr>
      <w:r>
        <w:rPr>
          <w:sz w:val="22"/>
          <w:szCs w:val="22"/>
        </w:rPr>
        <w:t xml:space="preserve">A minimização do contexto enviado à IA remove campos estruturados e padrões reconhecidos de identificação e contato, mas não garante anonimização semântica de texto livre. O usuário precisa revisar o conteúdo antes do envio. A anonimização de um cliente também limpa os campos pessoais conhecidos do histórico de alterações, preservando autoria, datas e mudanças não pessoais; a política de retenção precisa considerar os demais registros relacionados e as obrigações aplicáveis ao escritório.</w:t>
      </w:r>
    </w:p>
    <w:p>
      <w:pPr>
        <w:pStyle w:val="Heading1"/>
        <w:spacing w:after="200" w:before="420"/>
      </w:pPr>
      <w:r>
        <w:rPr>
          <w:b/>
          <w:bCs/>
          <w:color w:val="1F3864"/>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Importação automática do calendário forense publicado por cada tribunal, hoje cadastrado manualmente pelo escritório na aba de feriados locais;</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Cobrança automática das assinaturas por um meio de pagamento online (cartão, boleto ou PIX recorrente), com troca de plano pelo próprio escritório — hoje a mudança de plano é feita pelo administrador da plataforma no painel mestre;</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Fluxos configuráveis por tipo de processo e versionamento de documentos, com revisão e comparação antes da aprovação;</w:t>
      </w:r>
    </w:p>
    <w:p>
      <w:pPr>
        <w:pStyle w:val="ListParagraph"/>
        <w:numPr>
          <w:ilvl w:val="0"/>
          <w:numId w:val="1"/>
        </w:numPr>
        <w:spacing w:after="100" w:line="276"/>
        <w:jc w:val="both"/>
      </w:pPr>
      <w:r>
        <w:rPr>
          <w:sz w:val="22"/>
          <w:szCs w:val="22"/>
        </w:rPr>
        <w:t xml:space="preserve">Avaliação de usabilidade com profissionais independentes, leitor de tela e indicadores de desempenho e carga;</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1F3864"/>
          <w:sz w:val="30"/>
          <w:szCs w:val="30"/>
        </w:rPr>
        <w:t xml:space="preserve">9. Conclusão</w:t>
      </w:r>
    </w:p>
    <w:p>
      <w:pPr>
        <w:spacing w:after="180" w:line="300"/>
        <w:jc w:val="both"/>
      </w:pPr>
      <w:r>
        <w:rPr>
          <w:sz w:val="22"/>
          <w:szCs w:val="22"/>
        </w:rPr>
        <w:t xml:space="preserve">O LexNexo reúne cadastros, processos, agenda, documentos, tarefas e controle financeiro em uma aplicação multi-escritório. A implementação final usa Next.js/React, Django REST Framework e PostgreSQL, substituindo escolhas da proposta inicial. As integrações públicas com DataJud, DJEN, BrasilAPI e ViaCEP reduzem tarefas de consulta e preenchimento; o assistente de IA e o resumo para o cliente apoiam a redação, mantendo a revisão humana.</w:t>
      </w:r>
    </w:p>
    <w:p>
      <w:pPr>
        <w:spacing w:after="180" w:line="300"/>
        <w:jc w:val="both"/>
      </w:pPr>
      <w:r>
        <w:rPr>
          <w:sz w:val="22"/>
          <w:szCs w:val="22"/>
        </w:rPr>
        <w:t xml:space="preserve">A revisão do projeto mostrou que ampliar funcionalidades não é suficiente: também é necessário verificar se o comportamento corresponde ao que a interface promete. Foram encontrados e tratados problemas de renovação e revogação de sessão, indicadores financeiros, permissões, navegação e integração entre módulos. Os requisitos e o backlog passaram a compartilhar identificadores consistentes, diferenciando o que está implementado do que permanece adiado.</w:t>
      </w:r>
    </w:p>
    <w:p>
      <w:pPr>
        <w:spacing w:after="180" w:line="300"/>
        <w:jc w:val="both"/>
      </w:pPr>
      <w:r>
        <w:rPr>
          <w:sz w:val="22"/>
          <w:szCs w:val="22"/>
        </w:rPr>
        <w:t xml:space="preserve">A rodada mais recente priorizou três aspectos: organização visual com menos informação simultânea, segurança de dados e conferência de ações sensíveis. O cadastro por etapas conserva valores e inclui revisão antes do envio; o menu agrupado e recolhível, a ajuda progressiva e a busca direta favorecem a orientação. O suporte ao CNPJ alfanumérico preserva a compatibilidade com registros anteriores. A conferência de intimações registra autor e horário e é invalidada quando o vencimento muda, sem confundir leitura com validação do prazo.</w:t>
      </w:r>
    </w:p>
    <w:p>
      <w:pPr>
        <w:spacing w:after="180" w:line="300"/>
        <w:jc w:val="both"/>
      </w:pPr>
      <w:r>
        <w:rPr>
          <w:sz w:val="22"/>
          <w:szCs w:val="22"/>
        </w:rPr>
        <w:t xml:space="preserve">Na camada de privacidade, o contexto enviado à IA passou a minimizar informações pessoais estruturadas e padrões reconhecidos; o histórico de auditoria também foi considerado na anonimização de clientes. Essas medidas reduzem exposição, mas não eliminam o risco de dados sensíveis em texto livre nem equivalem a uma declaração de conformidade integral. O sistema não armazena respostas autenticadas da API para uso offline, evitando apresentar dados antigos como atuais.</w:t>
      </w:r>
    </w:p>
    <w:p>
      <w:pPr>
        <w:spacing w:after="180" w:line="300"/>
        <w:jc w:val="both"/>
      </w:pPr>
      <w:r>
        <w:rPr>
          <w:sz w:val="22"/>
          <w:szCs w:val="22"/>
        </w:rPr>
        <w:t xml:space="preserve">A auditoria final aprovou 532 testes Django, 275 Jest e 34 Playwright, totalizando 841 casos automatizados, além de análise estática, build, validação OpenAPI e auditoria de dependências. A cobertura de linhas foi de 91,47% no escopo medido do backend e de 35,55% no frontend; este último permaneceu abaixo da meta de 70%. Na aplicação publicada, 21 verificações práticas foram aprovadas, uma ficou bloqueada e os 19 registros criados foram preservados. O parecer é apto com ressalvas no escopo local validado, sem publicação das correções. Os resultados e limitações estão descritos na seção 7. A evidência automatizada sustenta o comportamento dos cenários cobertos, mas não demonstra, por si só, ganho de produtividade ou usabilidade para todos os perfis.</w:t>
      </w:r>
    </w:p>
    <w:p>
      <w:pPr>
        <w:spacing w:after="180" w:line="300"/>
        <w:jc w:val="both"/>
      </w:pPr>
      <w:r>
        <w:rPr>
          <w:sz w:val="22"/>
          <w:szCs w:val="22"/>
        </w:rPr>
        <w:t xml:space="preserve">O próximo passo de avaliação é realizar sessões observadas com profissionais de escritórios, usando dados fictícios, registrando erros, tempo, conclusão de tarefas e percepção de usabilidade. Portal do cliente, fluxos configuráveis, versionamento de documentos e integrações de cobrança permanecem evoluções propostas. A principal contribuição do trabalho é uma solução integrada com mecanismos verificáveis de controle e orientação, acompanhada da explicitação de seus limites e das condições para sua continuidade.</w:t>
      </w:r>
    </w:p>
    <w:p>
      <w:pPr>
        <w:pStyle w:val="Heading1"/>
        <w:spacing w:after="200" w:before="420"/>
      </w:pPr>
      <w:r>
        <w:rPr>
          <w:b/>
          <w:bCs/>
          <w:color w:val="1F3864"/>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p>
      <w:pPr>
        <w:spacing w:after="180" w:line="300"/>
        <w:jc w:val="both"/>
      </w:pPr>
      <w:r>
        <w:rPr>
          <w:sz w:val="22"/>
          <w:szCs w:val="22"/>
        </w:rPr>
        <w:t xml:space="preserve">BRASILAPI. BrasilAPI: vamos transformar o Brasil em uma API. Disponível em: https://brasilapi.com.br/docs. Acesso em: 2026.</w:t>
      </w:r>
    </w:p>
    <w:p>
      <w:pPr>
        <w:spacing w:after="180" w:line="300"/>
        <w:jc w:val="both"/>
      </w:pPr>
      <w:r>
        <w:rPr>
          <w:sz w:val="22"/>
          <w:szCs w:val="22"/>
        </w:rPr>
        <w:t xml:space="preserve">RECEITA FEDERAL DO BRASIL. Dados Abertos do CNPJ. Disponível em: https://dados.gov.br/dados/conjuntos-dados/cadastro-nacional-da-pessoa-juridica---cnpj. Acesso em: 2026.</w:t>
      </w:r>
    </w:p>
    <w:p>
      <w:pPr>
        <w:spacing w:after="180" w:line="300"/>
        <w:jc w:val="both"/>
      </w:pPr>
      <w:r>
        <w:rPr>
          <w:sz w:val="22"/>
          <w:szCs w:val="22"/>
        </w:rPr>
        <w:t xml:space="preserve">RECEITA FEDERAL DO BRASIL. CNPJ Alfanumérico. Disponível em: https://www.gov.br/receitafederal/pt-br/acesso-a-informacao/acoes-e-programas/programas-e-atividades/cnpj-alfanumerico. Acesso em: 27 out.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4bafa2a8ef6f61d27ac0ea23e495e8d8aa0806b1.png"/><Relationship Id="rId11" Type="http://schemas.openxmlformats.org/officeDocument/2006/relationships/image" Target="media/8921acfc92d711859f5aff40e9d5c9a0e03b3b77.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16bef1fc1eed459154f155fa0b622ed0c32e2b59.png"/><Relationship Id="rId15" Type="http://schemas.openxmlformats.org/officeDocument/2006/relationships/image" Target="media/c3c7e8a2812157265f7f99b972f5dd05c9af5100.png"/><Relationship Id="rId16" Type="http://schemas.openxmlformats.org/officeDocument/2006/relationships/image" Target="media/f4901bfb2317be80ace592defbfc28954d150d5d.png"/><Relationship Id="rId17" Type="http://schemas.openxmlformats.org/officeDocument/2006/relationships/image" Target="media/3e4bebf9c38c9231516be9f336f91e1cefd02213.png"/><Relationship Id="rId18" Type="http://schemas.openxmlformats.org/officeDocument/2006/relationships/image" Target="media/ed09c8994052a1281280e66b19154f089729c93a.png"/><Relationship Id="rId19" Type="http://schemas.openxmlformats.org/officeDocument/2006/relationships/image" Target="media/1bf91885621cbcdde8bcdaba91276bbd05644e50.png"/><Relationship Id="rId20" Type="http://schemas.openxmlformats.org/officeDocument/2006/relationships/image" Target="media/b03766139176b71197539a23d86b0282e3cfc6ec.png"/><Relationship Id="rId21" Type="http://schemas.openxmlformats.org/officeDocument/2006/relationships/image" Target="media/f8c4b9865df0706ee7c83df7c612c0e05377c1f2.png"/><Relationship Id="rId22" Type="http://schemas.openxmlformats.org/officeDocument/2006/relationships/image" Target="media/ce33a8292529e6d4b42b96151612a99240b7799a.png"/><Relationship Id="rId23" Type="http://schemas.openxmlformats.org/officeDocument/2006/relationships/image" Target="media/64bcbb9ed0383916e48c28ff757caced33852665.png"/><Relationship Id="rId24" Type="http://schemas.openxmlformats.org/officeDocument/2006/relationships/image" Target="media/b0dae9501654e8587877cb2014f61e0fe9a122bf.png"/><Relationship Id="rId25" Type="http://schemas.openxmlformats.org/officeDocument/2006/relationships/image" Target="media/9f7ddca9df158ea53b1db7e5dbef8c46bf1520a3.png"/><Relationship Id="rId26" Type="http://schemas.openxmlformats.org/officeDocument/2006/relationships/image" Target="media/fd23e42eee5ab7e19530b57c8a2fe3ccfb52a3a6.png"/><Relationship Id="rId27" Type="http://schemas.openxmlformats.org/officeDocument/2006/relationships/image" Target="media/26f9386eb5f6fe6b0191604fbf64c0a9e24c2765.png"/><Relationship Id="rId28" Type="http://schemas.openxmlformats.org/officeDocument/2006/relationships/image" Target="media/08fc9d42e96d4acc5ae90cba436bc7a8303a0875.png"/><Relationship Id="rId29" Type="http://schemas.openxmlformats.org/officeDocument/2006/relationships/image" Target="media/59fbf896d986db5308df013113257a2a4e1a6704.png"/><Relationship Id="rId30" Type="http://schemas.openxmlformats.org/officeDocument/2006/relationships/image" Target="media/7fe8549b3e7705fd5ed8e56ba46c86bacb6856a1.png"/><Relationship Id="rId31" Type="http://schemas.openxmlformats.org/officeDocument/2006/relationships/image" Target="media/90a5760e3761f3bd3202a74c4483e4d5d2f4a713.png"/><Relationship Id="rId32" Type="http://schemas.openxmlformats.org/officeDocument/2006/relationships/image" Target="media/1fd14fc314169d66a8794088a141d602830469a3.png"/><Relationship Id="rId33" Type="http://schemas.openxmlformats.org/officeDocument/2006/relationships/image" Target="media/8fc4225943619a861deb8f389a2a1d890c533a92.png"/><Relationship Id="rId34" Type="http://schemas.openxmlformats.org/officeDocument/2006/relationships/image" Target="media/0e4c7f2560143dd47cb5a0dc1740d3c958ab03b9.png"/><Relationship Id="rId35" Type="http://schemas.openxmlformats.org/officeDocument/2006/relationships/image" Target="media/2298a2474e18225e04b9916ec1ff94f86e221d17.png"/><Relationship Id="rId36" Type="http://schemas.openxmlformats.org/officeDocument/2006/relationships/image" Target="media/35f4ace106e5ff9b60fd2aaab5a89cf239966c94.png"/><Relationship Id="rId37" Type="http://schemas.openxmlformats.org/officeDocument/2006/relationships/image" Target="media/bd523e8e178363667c394dc92102f76dc645a8fd.png"/><Relationship Id="rId38" Type="http://schemas.openxmlformats.org/officeDocument/2006/relationships/image" Target="media/319307e2b1884cab6a5ec219eaecc3f8e0cf84e0.png"/><Relationship Id="rId39" Type="http://schemas.openxmlformats.org/officeDocument/2006/relationships/image" Target="media/e836d31a908ffb00acd19211fc4eb2f85637797a.png"/><Relationship Id="rId40" Type="http://schemas.openxmlformats.org/officeDocument/2006/relationships/image" Target="media/2fcde5d5ed85087de58d5ca07f156ed976af4a50.png"/><Relationship Id="rId41" Type="http://schemas.openxmlformats.org/officeDocument/2006/relationships/image" Target="media/e4c1bf898ede3a62e2ff35336bb00d70129bc6be.png"/><Relationship Id="rId42" Type="http://schemas.openxmlformats.org/officeDocument/2006/relationships/image" Target="media/95309267b5e7c07d005a6f7187e7d5082402823b.png"/><Relationship Id="rId43" Type="http://schemas.openxmlformats.org/officeDocument/2006/relationships/image" Target="media/1fd2f9c7fc81a06a468071d67a871c8976efeb32.png"/><Relationship Id="rId44" Type="http://schemas.openxmlformats.org/officeDocument/2006/relationships/image" Target="media/14c74744c111ac9436f652b94e5757344410bfb4.png"/><Relationship Id="rId45" Type="http://schemas.openxmlformats.org/officeDocument/2006/relationships/image" Target="media/843f572c7e4e88682be4d0150a03e63475b49718.png"/><Relationship Id="rId46" Type="http://schemas.openxmlformats.org/officeDocument/2006/relationships/image" Target="media/9c06b9dc0c0439fdaaa98523743fd87ca27f3271.png"/><Relationship Id="rId47" Type="http://schemas.openxmlformats.org/officeDocument/2006/relationships/image" Target="media/d85d3c770ecb7b7a02a0152165ace612fb7de553.png"/><Relationship Id="rId48" Type="http://schemas.openxmlformats.org/officeDocument/2006/relationships/image" Target="media/69cf1f988ec04de47a4923dfa00c5a7890548a50.png"/><Relationship Id="rId49" Type="http://schemas.openxmlformats.org/officeDocument/2006/relationships/image" Target="media/121e87a2b0bb71062f860b5ef469939f934f74f6.png"/><Relationship Id="rId50" Type="http://schemas.openxmlformats.org/officeDocument/2006/relationships/image" Target="media/b6a755e079f53c9fae4e3777e87d9e30093bb70a.png"/><Relationship Id="rId51" Type="http://schemas.openxmlformats.org/officeDocument/2006/relationships/image" Target="media/6112a58a00c9592f77959368c186e5d163434c60.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para Gerenciamento de Escritório de Advocacia</dc:title>
  <dc:subject>Relatório técnico do TCC — revisão 1.7 com auditoria de 27/10/2026</dc:subject>
  <dc:creator>João Henrique Souza Sabino e Guilherme Munhoz</dc:creator>
  <cp:lastModifiedBy>Un-named</cp:lastModifiedBy>
  <cp:revision>1</cp:revision>
  <dcterms:created xsi:type="dcterms:W3CDTF">2026-10-28T11:46:36.059Z</dcterms:created>
  <dcterms:modified xsi:type="dcterms:W3CDTF">2026-10-28T11:46:36.059Z</dcterms:modified>
</cp:coreProperties>
</file>

<file path=docProps/custom.xml><?xml version="1.0" encoding="utf-8"?>
<Properties xmlns="http://schemas.openxmlformats.org/officeDocument/2006/custom-properties" xmlns:vt="http://schemas.openxmlformats.org/officeDocument/2006/docPropsVTypes"/>
</file>